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Garamond" w:cs="Garamond" w:eastAsia="Garamond" w:hAnsi="Garamond"/>
          <w:b w:val="1"/>
          <w:color w:val="212121"/>
          <w:sz w:val="28"/>
          <w:szCs w:val="28"/>
        </w:rPr>
      </w:pPr>
      <w:r w:rsidDel="00000000" w:rsidR="00000000" w:rsidRPr="00000000">
        <w:rPr>
          <w:rFonts w:ascii="Garamond" w:cs="Garamond" w:eastAsia="Garamond" w:hAnsi="Garamond"/>
          <w:b w:val="1"/>
          <w:sz w:val="28"/>
          <w:szCs w:val="28"/>
          <w:rtl w:val="0"/>
        </w:rPr>
        <w:t xml:space="preserve">THIS IS THE TITLE WITH MAXIMUM OF 12 WORDS (1</w:t>
      </w:r>
      <w:r w:rsidDel="00000000" w:rsidR="00000000" w:rsidRPr="00000000">
        <w:rPr>
          <w:rFonts w:ascii="Garamond" w:cs="Garamond" w:eastAsia="Garamond" w:hAnsi="Garamond"/>
          <w:b w:val="1"/>
          <w:color w:val="212121"/>
          <w:sz w:val="28"/>
          <w:szCs w:val="28"/>
          <w:rtl w:val="0"/>
        </w:rPr>
        <w:t xml:space="preserve">4pt)</w:t>
      </w:r>
    </w:p>
    <w:p w:rsidR="00000000" w:rsidDel="00000000" w:rsidP="00000000" w:rsidRDefault="00000000" w:rsidRPr="00000000" w14:paraId="00000002">
      <w:pPr>
        <w:spacing w:after="0" w:line="240"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Name of Author(1),</w:t>
      </w:r>
      <w:r w:rsidDel="00000000" w:rsidR="00000000" w:rsidRPr="00000000">
        <w:rPr>
          <w:rFonts w:ascii="Garamond" w:cs="Garamond" w:eastAsia="Garamond" w:hAnsi="Garamond"/>
          <w:b w:val="1"/>
          <w:sz w:val="24"/>
          <w:szCs w:val="24"/>
          <w:vertAlign w:val="superscript"/>
          <w:rtl w:val="0"/>
        </w:rPr>
        <w:t xml:space="preserve">a</w:t>
      </w:r>
      <w:r w:rsidDel="00000000" w:rsidR="00000000" w:rsidRPr="00000000">
        <w:rPr>
          <w:rFonts w:ascii="Garamond" w:cs="Garamond" w:eastAsia="Garamond" w:hAnsi="Garamond"/>
          <w:b w:val="1"/>
          <w:sz w:val="24"/>
          <w:szCs w:val="24"/>
          <w:rtl w:val="0"/>
        </w:rPr>
        <w:t xml:space="preserve"> Author(2),</w:t>
      </w:r>
      <w:r w:rsidDel="00000000" w:rsidR="00000000" w:rsidRPr="00000000">
        <w:rPr>
          <w:rFonts w:ascii="Garamond" w:cs="Garamond" w:eastAsia="Garamond" w:hAnsi="Garamond"/>
          <w:b w:val="1"/>
          <w:sz w:val="24"/>
          <w:szCs w:val="24"/>
          <w:vertAlign w:val="superscript"/>
          <w:rtl w:val="0"/>
        </w:rPr>
        <w:t xml:space="preserve">b</w:t>
      </w:r>
      <w:r w:rsidDel="00000000" w:rsidR="00000000" w:rsidRPr="00000000">
        <w:rPr>
          <w:rFonts w:ascii="Garamond" w:cs="Garamond" w:eastAsia="Garamond" w:hAnsi="Garamond"/>
          <w:b w:val="1"/>
          <w:sz w:val="24"/>
          <w:szCs w:val="24"/>
          <w:rtl w:val="0"/>
        </w:rPr>
        <w:t xml:space="preserve"> Author(3)</w:t>
      </w:r>
      <w:r w:rsidDel="00000000" w:rsidR="00000000" w:rsidRPr="00000000">
        <w:rPr>
          <w:rFonts w:ascii="Garamond" w:cs="Garamond" w:eastAsia="Garamond" w:hAnsi="Garamond"/>
          <w:b w:val="1"/>
          <w:sz w:val="24"/>
          <w:szCs w:val="24"/>
          <w:vertAlign w:val="superscript"/>
          <w:rtl w:val="0"/>
        </w:rPr>
        <w:t xml:space="preserve">c</w:t>
      </w:r>
      <w:r w:rsidDel="00000000" w:rsidR="00000000" w:rsidRPr="00000000">
        <w:rPr>
          <w:rtl w:val="0"/>
        </w:rPr>
      </w:r>
    </w:p>
    <w:p w:rsidR="00000000" w:rsidDel="00000000" w:rsidP="00000000" w:rsidRDefault="00000000" w:rsidRPr="00000000" w14:paraId="00000004">
      <w:pPr>
        <w:spacing w:after="0" w:line="240" w:lineRule="auto"/>
        <w:jc w:val="center"/>
        <w:rPr>
          <w:rFonts w:ascii="Garamond" w:cs="Garamond" w:eastAsia="Garamond" w:hAnsi="Garamond"/>
          <w:sz w:val="24"/>
          <w:szCs w:val="24"/>
        </w:rPr>
      </w:pPr>
      <w:r w:rsidDel="00000000" w:rsidR="00000000" w:rsidRPr="00000000">
        <w:rPr>
          <w:rFonts w:ascii="Garamond" w:cs="Garamond" w:eastAsia="Garamond" w:hAnsi="Garamond"/>
          <w:sz w:val="24"/>
          <w:szCs w:val="24"/>
          <w:vertAlign w:val="superscript"/>
          <w:rtl w:val="0"/>
        </w:rPr>
        <w:t xml:space="preserve">a</w:t>
      </w:r>
      <w:r w:rsidDel="00000000" w:rsidR="00000000" w:rsidRPr="00000000">
        <w:rPr>
          <w:rFonts w:ascii="Garamond" w:cs="Garamond" w:eastAsia="Garamond" w:hAnsi="Garamond"/>
          <w:sz w:val="24"/>
          <w:szCs w:val="24"/>
          <w:rtl w:val="0"/>
        </w:rPr>
        <w:t xml:space="preserve">Affiliation Author(1), </w:t>
      </w:r>
      <w:r w:rsidDel="00000000" w:rsidR="00000000" w:rsidRPr="00000000">
        <w:rPr>
          <w:rFonts w:ascii="Garamond" w:cs="Garamond" w:eastAsia="Garamond" w:hAnsi="Garamond"/>
          <w:sz w:val="24"/>
          <w:szCs w:val="24"/>
          <w:vertAlign w:val="superscript"/>
          <w:rtl w:val="0"/>
        </w:rPr>
        <w:t xml:space="preserve">b</w:t>
      </w:r>
      <w:r w:rsidDel="00000000" w:rsidR="00000000" w:rsidRPr="00000000">
        <w:rPr>
          <w:rFonts w:ascii="Garamond" w:cs="Garamond" w:eastAsia="Garamond" w:hAnsi="Garamond"/>
          <w:sz w:val="24"/>
          <w:szCs w:val="24"/>
          <w:rtl w:val="0"/>
        </w:rPr>
        <w:t xml:space="preserve">Author(2), </w:t>
      </w:r>
      <w:r w:rsidDel="00000000" w:rsidR="00000000" w:rsidRPr="00000000">
        <w:rPr>
          <w:rFonts w:ascii="Garamond" w:cs="Garamond" w:eastAsia="Garamond" w:hAnsi="Garamond"/>
          <w:sz w:val="24"/>
          <w:szCs w:val="24"/>
          <w:vertAlign w:val="superscript"/>
          <w:rtl w:val="0"/>
        </w:rPr>
        <w:t xml:space="preserve">c</w:t>
      </w:r>
      <w:r w:rsidDel="00000000" w:rsidR="00000000" w:rsidRPr="00000000">
        <w:rPr>
          <w:rFonts w:ascii="Garamond" w:cs="Garamond" w:eastAsia="Garamond" w:hAnsi="Garamond"/>
          <w:sz w:val="24"/>
          <w:szCs w:val="24"/>
          <w:rtl w:val="0"/>
        </w:rPr>
        <w:t xml:space="preserve">Author(3), country</w:t>
      </w:r>
    </w:p>
    <w:p w:rsidR="00000000" w:rsidDel="00000000" w:rsidP="00000000" w:rsidRDefault="00000000" w:rsidRPr="00000000" w14:paraId="00000005">
      <w:pPr>
        <w:spacing w:after="0" w:line="240" w:lineRule="auto"/>
        <w:jc w:val="center"/>
        <w:rPr>
          <w:rFonts w:ascii="Garamond" w:cs="Garamond" w:eastAsia="Garamond" w:hAnsi="Garamond"/>
          <w:i w:val="1"/>
          <w:sz w:val="24"/>
          <w:szCs w:val="24"/>
        </w:rPr>
      </w:pPr>
      <w:r w:rsidDel="00000000" w:rsidR="00000000" w:rsidRPr="00000000">
        <w:rPr>
          <w:rFonts w:ascii="Garamond" w:cs="Garamond" w:eastAsia="Garamond" w:hAnsi="Garamond"/>
          <w:i w:val="1"/>
          <w:sz w:val="24"/>
          <w:szCs w:val="24"/>
          <w:rtl w:val="0"/>
        </w:rPr>
        <w:t xml:space="preserve">e-mail: author@provider.com (corresponding author); author@provider.com; author@provider.com</w:t>
      </w:r>
    </w:p>
    <w:p w:rsidR="00000000" w:rsidDel="00000000" w:rsidP="00000000" w:rsidRDefault="00000000" w:rsidRPr="00000000" w14:paraId="00000006">
      <w:pPr>
        <w:spacing w:after="0" w:line="240"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Submitted: 15 December 2021 - Last revised: 1 January 2022 - Accepted: 10 January 2022</w:t>
      </w:r>
      <w:r w:rsidDel="00000000" w:rsidR="00000000" w:rsidRPr="00000000">
        <w:rPr>
          <w:rtl w:val="0"/>
        </w:rPr>
      </w:r>
    </w:p>
    <w:p w:rsidR="00000000" w:rsidDel="00000000" w:rsidP="00000000" w:rsidRDefault="00000000" w:rsidRPr="00000000" w14:paraId="00000008">
      <w:pPr>
        <w:spacing w:after="0" w:line="240" w:lineRule="auto"/>
        <w:jc w:val="cente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Abstract</w:t>
      </w:r>
    </w:p>
    <w:p w:rsidR="00000000" w:rsidDel="00000000" w:rsidP="00000000" w:rsidRDefault="00000000" w:rsidRPr="00000000" w14:paraId="0000000A">
      <w:pPr>
        <w:spacing w:after="0" w:line="240" w:lineRule="auto"/>
        <w:jc w:val="center"/>
        <w:rPr>
          <w:rFonts w:ascii="Garamond" w:cs="Garamond" w:eastAsia="Garamond" w:hAnsi="Garamond"/>
          <w:b w:val="1"/>
          <w:sz w:val="20"/>
          <w:szCs w:val="20"/>
        </w:rPr>
      </w:pPr>
      <w:r w:rsidDel="00000000" w:rsidR="00000000" w:rsidRPr="00000000">
        <w:rPr>
          <w:rtl w:val="0"/>
        </w:rPr>
      </w:r>
    </w:p>
    <w:p w:rsidR="00000000" w:rsidDel="00000000" w:rsidP="00000000" w:rsidRDefault="00000000" w:rsidRPr="00000000" w14:paraId="0000000B">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cs="Garamond" w:eastAsia="Garamond" w:hAnsi="Garamond"/>
          <w:color w:val="212121"/>
          <w:sz w:val="20"/>
          <w:szCs w:val="20"/>
        </w:rPr>
      </w:pPr>
      <w:r w:rsidDel="00000000" w:rsidR="00000000" w:rsidRPr="00000000">
        <w:rPr>
          <w:rFonts w:ascii="Garamond" w:cs="Garamond" w:eastAsia="Garamond" w:hAnsi="Garamond"/>
          <w:color w:val="212121"/>
          <w:sz w:val="20"/>
          <w:szCs w:val="20"/>
          <w:rtl w:val="0"/>
        </w:rPr>
        <w:t xml:space="preserve">In recent days, journals have been modes of publishing and disseminating scientific findings, including legal findings as well as legal development. Each journal has its own characteristics and criteria. Therefore, this template is set to provide authors in submitting their manuscripts to the Journal of Central Bank Law and Institutions (JCLI). The article begins with the Article Title, Author's Name, Author’s affiliation and email address, followed by an abstract written in italics of 150-200 words, both in English and in Bahasa Indonesia. The abstract should be written in one paragraph with a 10 pt font size and Garamond type with single spacing. The abstract concisely report the aims and outcomes of your research so that readers know exactly what the paper is about. At least, the abstract should include: research problem and objective(s); research method(s); key result(s) or main argument(s); and conclusion. This template should be used for authors who wish to submit their manuscripts to JCLI.</w:t>
      </w:r>
    </w:p>
    <w:p w:rsidR="00000000" w:rsidDel="00000000" w:rsidP="00000000" w:rsidRDefault="00000000" w:rsidRPr="00000000" w14:paraId="0000000C">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cs="Garamond" w:eastAsia="Garamond" w:hAnsi="Garamond"/>
          <w:color w:val="212121"/>
          <w:sz w:val="20"/>
          <w:szCs w:val="20"/>
        </w:rPr>
      </w:pPr>
      <w:r w:rsidDel="00000000" w:rsidR="00000000" w:rsidRPr="00000000">
        <w:rPr>
          <w:rtl w:val="0"/>
        </w:rPr>
      </w:r>
    </w:p>
    <w:p w:rsidR="00000000" w:rsidDel="00000000" w:rsidP="00000000" w:rsidRDefault="00000000" w:rsidRPr="00000000" w14:paraId="0000000D">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cs="Garamond" w:eastAsia="Garamond" w:hAnsi="Garamond"/>
          <w:color w:val="212121"/>
          <w:sz w:val="20"/>
          <w:szCs w:val="20"/>
        </w:rPr>
      </w:pPr>
      <w:r w:rsidDel="00000000" w:rsidR="00000000" w:rsidRPr="00000000">
        <w:rPr>
          <w:rFonts w:ascii="Garamond" w:cs="Garamond" w:eastAsia="Garamond" w:hAnsi="Garamond"/>
          <w:b w:val="1"/>
          <w:color w:val="212121"/>
          <w:sz w:val="20"/>
          <w:szCs w:val="20"/>
          <w:rtl w:val="0"/>
        </w:rPr>
        <w:t xml:space="preserve">Keywords: </w:t>
      </w:r>
      <w:r w:rsidDel="00000000" w:rsidR="00000000" w:rsidRPr="00000000">
        <w:rPr>
          <w:rFonts w:ascii="Garamond" w:cs="Garamond" w:eastAsia="Garamond" w:hAnsi="Garamond"/>
          <w:i w:val="1"/>
          <w:color w:val="212121"/>
          <w:sz w:val="20"/>
          <w:szCs w:val="20"/>
          <w:rtl w:val="0"/>
        </w:rPr>
        <w:t xml:space="preserve">keyword 1, keyword 2, keyword 3, keyword 4, keyword 5</w:t>
      </w:r>
      <w:r w:rsidDel="00000000" w:rsidR="00000000" w:rsidRPr="00000000">
        <w:rPr>
          <w:rtl w:val="0"/>
        </w:rPr>
      </w:r>
    </w:p>
    <w:p w:rsidR="00000000" w:rsidDel="00000000" w:rsidP="00000000" w:rsidRDefault="00000000" w:rsidRPr="00000000" w14:paraId="0000000E">
      <w:pPr>
        <w:spacing w:after="0"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F">
      <w:pPr>
        <w:spacing w:after="0"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0">
      <w:pPr>
        <w:numPr>
          <w:ilvl w:val="0"/>
          <w:numId w:val="4"/>
        </w:numPr>
        <w:spacing w:after="0" w:line="240" w:lineRule="auto"/>
        <w:ind w:left="354.3307086614175" w:hanging="283.4645669291339"/>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I</w:t>
      </w:r>
      <w:r w:rsidDel="00000000" w:rsidR="00000000" w:rsidRPr="00000000">
        <w:rPr>
          <w:rFonts w:ascii="Garamond" w:cs="Garamond" w:eastAsia="Garamond" w:hAnsi="Garamond"/>
          <w:b w:val="1"/>
          <w:sz w:val="24"/>
          <w:szCs w:val="24"/>
          <w:rtl w:val="0"/>
        </w:rPr>
        <w:t xml:space="preserve">NTRODUCTION</w:t>
      </w:r>
      <w:r w:rsidDel="00000000" w:rsidR="00000000" w:rsidRPr="00000000">
        <w:rPr>
          <w:rtl w:val="0"/>
        </w:rPr>
      </w:r>
    </w:p>
    <w:p w:rsidR="00000000" w:rsidDel="00000000" w:rsidP="00000000" w:rsidRDefault="00000000" w:rsidRPr="00000000" w14:paraId="00000011">
      <w:pPr>
        <w:spacing w:after="0" w:line="240" w:lineRule="auto"/>
        <w:ind w:firstLine="720"/>
        <w:jc w:val="both"/>
        <w:rPr>
          <w:rFonts w:ascii="Garamond" w:cs="Garamond" w:eastAsia="Garamond" w:hAnsi="Garamond"/>
          <w:sz w:val="24"/>
          <w:szCs w:val="24"/>
          <w:highlight w:val="white"/>
        </w:rPr>
      </w:pPr>
      <w:r w:rsidDel="00000000" w:rsidR="00000000" w:rsidRPr="00000000">
        <w:rPr>
          <w:rFonts w:ascii="Garamond" w:cs="Garamond" w:eastAsia="Garamond" w:hAnsi="Garamond"/>
          <w:color w:val="000000"/>
          <w:sz w:val="24"/>
          <w:szCs w:val="24"/>
          <w:rtl w:val="0"/>
        </w:rPr>
        <w:t xml:space="preserve">Journal of Central Bank Law</w:t>
      </w:r>
      <w:r w:rsidDel="00000000" w:rsidR="00000000" w:rsidRPr="00000000">
        <w:rPr>
          <w:rFonts w:ascii="Garamond" w:cs="Garamond" w:eastAsia="Garamond" w:hAnsi="Garamond"/>
          <w:sz w:val="24"/>
          <w:szCs w:val="24"/>
          <w:rtl w:val="0"/>
        </w:rPr>
        <w:t xml:space="preserve"> and</w:t>
      </w:r>
      <w:r w:rsidDel="00000000" w:rsidR="00000000" w:rsidRPr="00000000">
        <w:rPr>
          <w:rFonts w:ascii="Garamond" w:cs="Garamond" w:eastAsia="Garamond" w:hAnsi="Garamond"/>
          <w:color w:val="000000"/>
          <w:sz w:val="24"/>
          <w:szCs w:val="24"/>
          <w:rtl w:val="0"/>
        </w:rPr>
        <w:t xml:space="preserve"> Institutions </w:t>
      </w:r>
      <w:r w:rsidDel="00000000" w:rsidR="00000000" w:rsidRPr="00000000">
        <w:rPr>
          <w:rFonts w:ascii="Garamond" w:cs="Garamond" w:eastAsia="Garamond" w:hAnsi="Garamond"/>
          <w:color w:val="000000"/>
          <w:sz w:val="24"/>
          <w:szCs w:val="24"/>
          <w:highlight w:val="white"/>
          <w:rtl w:val="0"/>
        </w:rPr>
        <w:t xml:space="preserve">(JC</w:t>
      </w:r>
      <w:r w:rsidDel="00000000" w:rsidR="00000000" w:rsidRPr="00000000">
        <w:rPr>
          <w:rFonts w:ascii="Garamond" w:cs="Garamond" w:eastAsia="Garamond" w:hAnsi="Garamond"/>
          <w:sz w:val="24"/>
          <w:szCs w:val="24"/>
          <w:highlight w:val="white"/>
          <w:rtl w:val="0"/>
        </w:rPr>
        <w:t xml:space="preserve">LI</w:t>
      </w:r>
      <w:r w:rsidDel="00000000" w:rsidR="00000000" w:rsidRPr="00000000">
        <w:rPr>
          <w:rFonts w:ascii="Garamond" w:cs="Garamond" w:eastAsia="Garamond" w:hAnsi="Garamond"/>
          <w:color w:val="000000"/>
          <w:sz w:val="24"/>
          <w:szCs w:val="24"/>
          <w:highlight w:val="white"/>
          <w:rtl w:val="0"/>
        </w:rPr>
        <w:t xml:space="preserve">) is an initiative of the Bank Indonesia Institutions (BINS). It aims primarily to facilitate scholarly and professional discussions over current developments and Indonesia’s practice concerning international law. Published exclusively in English, the Journal seeks to expand the boundaries of Indonesian legal discourses to access English-speaking contributors and readers all over the world. The Journal, hence, welcomes contributions from international legal scholars and professionals as well as from representatives of courts, executive authorities, and agencies of development cooperation. JC</w:t>
      </w:r>
      <w:r w:rsidDel="00000000" w:rsidR="00000000" w:rsidRPr="00000000">
        <w:rPr>
          <w:rFonts w:ascii="Garamond" w:cs="Garamond" w:eastAsia="Garamond" w:hAnsi="Garamond"/>
          <w:sz w:val="24"/>
          <w:szCs w:val="24"/>
          <w:highlight w:val="white"/>
          <w:rtl w:val="0"/>
        </w:rPr>
        <w:t xml:space="preserve">LI</w:t>
      </w:r>
      <w:r w:rsidDel="00000000" w:rsidR="00000000" w:rsidRPr="00000000">
        <w:rPr>
          <w:rFonts w:ascii="Garamond" w:cs="Garamond" w:eastAsia="Garamond" w:hAnsi="Garamond"/>
          <w:color w:val="000000"/>
          <w:sz w:val="24"/>
          <w:szCs w:val="24"/>
          <w:highlight w:val="white"/>
          <w:rtl w:val="0"/>
        </w:rPr>
        <w:t xml:space="preserve"> basically </w:t>
      </w:r>
      <w:r w:rsidDel="00000000" w:rsidR="00000000" w:rsidRPr="00000000">
        <w:rPr>
          <w:rFonts w:ascii="Garamond" w:cs="Garamond" w:eastAsia="Garamond" w:hAnsi="Garamond"/>
          <w:sz w:val="24"/>
          <w:szCs w:val="24"/>
          <w:highlight w:val="white"/>
          <w:rtl w:val="0"/>
        </w:rPr>
        <w:t xml:space="preserve">contains topics</w:t>
      </w:r>
      <w:r w:rsidDel="00000000" w:rsidR="00000000" w:rsidRPr="00000000">
        <w:rPr>
          <w:rFonts w:ascii="Garamond" w:cs="Garamond" w:eastAsia="Garamond" w:hAnsi="Garamond"/>
          <w:color w:val="000000"/>
          <w:sz w:val="24"/>
          <w:szCs w:val="24"/>
          <w:highlight w:val="white"/>
          <w:rtl w:val="0"/>
        </w:rPr>
        <w:t xml:space="preserve"> concerning Indonesia’s practice concerning central </w:t>
      </w:r>
      <w:r w:rsidDel="00000000" w:rsidR="00000000" w:rsidRPr="00000000">
        <w:rPr>
          <w:rFonts w:ascii="Garamond" w:cs="Garamond" w:eastAsia="Garamond" w:hAnsi="Garamond"/>
          <w:sz w:val="24"/>
          <w:szCs w:val="24"/>
          <w:highlight w:val="white"/>
          <w:rtl w:val="0"/>
        </w:rPr>
        <w:t xml:space="preserve">bank law and</w:t>
      </w:r>
      <w:r w:rsidDel="00000000" w:rsidR="00000000" w:rsidRPr="00000000">
        <w:rPr>
          <w:rFonts w:ascii="Garamond" w:cs="Garamond" w:eastAsia="Garamond" w:hAnsi="Garamond"/>
          <w:color w:val="000000"/>
          <w:sz w:val="24"/>
          <w:szCs w:val="24"/>
          <w:highlight w:val="white"/>
          <w:rtl w:val="0"/>
        </w:rPr>
        <w:t xml:space="preserve"> institutions. </w:t>
      </w:r>
      <w:r w:rsidDel="00000000" w:rsidR="00000000" w:rsidRPr="00000000">
        <w:rPr>
          <w:rtl w:val="0"/>
        </w:rPr>
      </w:r>
    </w:p>
    <w:p w:rsidR="00000000" w:rsidDel="00000000" w:rsidP="00000000" w:rsidRDefault="00000000" w:rsidRPr="00000000" w14:paraId="00000012">
      <w:pPr>
        <w:spacing w:after="0" w:line="240" w:lineRule="auto"/>
        <w:ind w:firstLine="720"/>
        <w:jc w:val="both"/>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The introduction is to provide the reader with a clear idea of what the article will cover. It should provide some background information on the specific problem or issue that is being addressed. It is followed by the main position or argument as a response to the essay question. The author’s position can be a single sentence answer to the essay question but will often include two to three sentences explaining the answer in more detail.</w:t>
      </w:r>
    </w:p>
    <w:p w:rsidR="00000000" w:rsidDel="00000000" w:rsidP="00000000" w:rsidRDefault="00000000" w:rsidRPr="00000000" w14:paraId="00000013">
      <w:pPr>
        <w:spacing w:after="0" w:line="240" w:lineRule="auto"/>
        <w:ind w:firstLine="720"/>
        <w:jc w:val="both"/>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The introduction also briefly reviews any other solutions or approaches that have been tried in the past. Please be noted that a thesis or a dissertation usually has a separate chapter titled ‘Review of literature,’ but a research paper has no such section; instead, the introduction includes a review in brief. Such a review aims to identify any gap in the research where the author’s paper will fill in that gap as a novelty or contribution to the literature. Novelty and recency of issues, however, is a priority in publishing. The range of contents covered by the Journal spans from established legal scholarships and fields of central bank and law. Finally, the introduction provides an overview of how the author is approaching the essay. This usually involves providing an outline of the most important points that the author is going to make.</w:t>
      </w:r>
    </w:p>
    <w:p w:rsidR="00000000" w:rsidDel="00000000" w:rsidP="00000000" w:rsidRDefault="00000000" w:rsidRPr="00000000" w14:paraId="00000014">
      <w:pPr>
        <w:spacing w:after="0" w:line="240" w:lineRule="auto"/>
        <w:ind w:firstLine="720"/>
        <w:jc w:val="both"/>
        <w:rPr>
          <w:rFonts w:ascii="Garamond" w:cs="Garamond" w:eastAsia="Garamond" w:hAnsi="Garamond"/>
          <w:sz w:val="24"/>
          <w:szCs w:val="24"/>
          <w:highlight w:val="white"/>
        </w:rPr>
      </w:pPr>
      <w:r w:rsidDel="00000000" w:rsidR="00000000" w:rsidRPr="00000000">
        <w:rPr>
          <w:rtl w:val="0"/>
        </w:rPr>
      </w:r>
    </w:p>
    <w:p w:rsidR="00000000" w:rsidDel="00000000" w:rsidP="00000000" w:rsidRDefault="00000000" w:rsidRPr="00000000" w14:paraId="00000015">
      <w:pPr>
        <w:spacing w:after="0" w:line="240" w:lineRule="auto"/>
        <w:ind w:firstLine="720"/>
        <w:jc w:val="both"/>
        <w:rPr>
          <w:rFonts w:ascii="Garamond" w:cs="Garamond" w:eastAsia="Garamond" w:hAnsi="Garamond"/>
          <w:sz w:val="24"/>
          <w:szCs w:val="24"/>
          <w:highlight w:val="white"/>
        </w:rPr>
      </w:pPr>
      <w:r w:rsidDel="00000000" w:rsidR="00000000" w:rsidRPr="00000000">
        <w:rPr>
          <w:rtl w:val="0"/>
        </w:rPr>
      </w:r>
    </w:p>
    <w:p w:rsidR="00000000" w:rsidDel="00000000" w:rsidP="00000000" w:rsidRDefault="00000000" w:rsidRPr="00000000" w14:paraId="00000016">
      <w:pPr>
        <w:numPr>
          <w:ilvl w:val="0"/>
          <w:numId w:val="4"/>
        </w:numPr>
        <w:spacing w:after="0" w:line="240" w:lineRule="auto"/>
        <w:ind w:left="354.3307086614175" w:hanging="354.3307086614175"/>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sz w:val="24"/>
          <w:szCs w:val="24"/>
          <w:rtl w:val="0"/>
        </w:rPr>
        <w:t xml:space="preserve">HEADING LEVEL 1</w:t>
      </w:r>
      <w:r w:rsidDel="00000000" w:rsidR="00000000" w:rsidRPr="00000000">
        <w:rPr>
          <w:rtl w:val="0"/>
        </w:rPr>
      </w:r>
    </w:p>
    <w:p w:rsidR="00000000" w:rsidDel="00000000" w:rsidP="00000000" w:rsidRDefault="00000000" w:rsidRPr="00000000" w14:paraId="00000017">
      <w:pPr>
        <w:widowControl w:val="0"/>
        <w:spacing w:after="0" w:line="240" w:lineRule="auto"/>
        <w:ind w:right="20"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Manuscripts should be written in English, not have been published already, nor under consideration elsewhere. The manuscript submitted in Bahasa Indonesia will be taken into consideration for translation assistance based on the quality of the topic/substance. Any manuscripts containing material subject to copyright restrictions other than those owned or controlled by the contributor must be accompanied by appropriate permissions from the relevant copyright holder(s). Each manuscript should be accompanied by the following information: the title of the manuscript, the author’s name, affiliation and an e-mail address. Manuscripts should be between 7.000 and 10.000 words, including text and footnotes. </w:t>
      </w:r>
    </w:p>
    <w:p w:rsidR="00000000" w:rsidDel="00000000" w:rsidP="00000000" w:rsidRDefault="00000000" w:rsidRPr="00000000" w14:paraId="00000018">
      <w:pPr>
        <w:widowControl w:val="0"/>
        <w:spacing w:after="0" w:line="240" w:lineRule="auto"/>
        <w:ind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body may consist of several paragraphs according to the discussion of the articles the author wishes to deliver. The body should be written in Garamond, font-size: 12, and single line spacing.</w:t>
      </w:r>
    </w:p>
    <w:p w:rsidR="00000000" w:rsidDel="00000000" w:rsidP="00000000" w:rsidRDefault="00000000" w:rsidRPr="00000000" w14:paraId="00000019">
      <w:pPr>
        <w:widowControl w:val="0"/>
        <w:spacing w:after="0" w:line="240" w:lineRule="auto"/>
        <w:ind w:right="20" w:firstLine="72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A">
      <w:pPr>
        <w:spacing w:after="0" w:line="240" w:lineRule="auto"/>
        <w:ind w:left="0" w:firstLine="0"/>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II.A. Sub-heading Level 2</w:t>
      </w:r>
    </w:p>
    <w:p w:rsidR="00000000" w:rsidDel="00000000" w:rsidP="00000000" w:rsidRDefault="00000000" w:rsidRPr="00000000" w14:paraId="0000001B">
      <w:pPr>
        <w:widowControl w:val="0"/>
        <w:spacing w:after="0" w:line="240" w:lineRule="auto"/>
        <w:ind w:right="20"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first line of each paragraph should be indented, with a single space between paragraphs. For direct quotation less than 20 words, it should be placed within the paragraph with quotation marks (“........”). For direct quotation containing more than 20 words, it should be in a separate paragraph with left indentation of 1,27 cm, justified, in italic and use single line spacing. Tables should be presented on the same sheets of the manuscript and should have short descriptive titles. Figures should be clearly numbered, source and should have explanatory captions. The author must indicate where Tables and Figures should be placed in the text.</w:t>
      </w:r>
    </w:p>
    <w:p w:rsidR="00000000" w:rsidDel="00000000" w:rsidP="00000000" w:rsidRDefault="00000000" w:rsidRPr="00000000" w14:paraId="0000001C">
      <w:pPr>
        <w:spacing w:after="0" w:line="240" w:lineRule="auto"/>
        <w:ind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the format of footnote style, JCLI adheres to the Chicago Manual of Style, 17</w:t>
      </w:r>
      <w:r w:rsidDel="00000000" w:rsidR="00000000" w:rsidRPr="00000000">
        <w:rPr>
          <w:rFonts w:ascii="Garamond" w:cs="Garamond" w:eastAsia="Garamond" w:hAnsi="Garamond"/>
          <w:sz w:val="24"/>
          <w:szCs w:val="24"/>
          <w:vertAlign w:val="superscript"/>
          <w:rtl w:val="0"/>
        </w:rPr>
        <w:t xml:space="preserve">th</w:t>
      </w:r>
      <w:r w:rsidDel="00000000" w:rsidR="00000000" w:rsidRPr="00000000">
        <w:rPr>
          <w:rFonts w:ascii="Garamond" w:cs="Garamond" w:eastAsia="Garamond" w:hAnsi="Garamond"/>
          <w:sz w:val="24"/>
          <w:szCs w:val="24"/>
          <w:rtl w:val="0"/>
        </w:rPr>
        <w:t xml:space="preserve"> edition, 2017 (full note). JCLI encourages the author to use reference managers such as Mendeley or Zotero. Here are some of the common references examples:</w:t>
      </w:r>
    </w:p>
    <w:p w:rsidR="00000000" w:rsidDel="00000000" w:rsidP="00000000" w:rsidRDefault="00000000" w:rsidRPr="00000000" w14:paraId="0000001D">
      <w:pPr>
        <w:numPr>
          <w:ilvl w:val="1"/>
          <w:numId w:val="3"/>
        </w:numPr>
        <w:spacing w:after="0" w:line="240" w:lineRule="auto"/>
        <w:ind w:left="993"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Books: in footnote</w:t>
      </w:r>
      <w:r w:rsidDel="00000000" w:rsidR="00000000" w:rsidRPr="00000000">
        <w:rPr>
          <w:rFonts w:ascii="Garamond" w:cs="Garamond" w:eastAsia="Garamond" w:hAnsi="Garamond"/>
          <w:sz w:val="24"/>
          <w:szCs w:val="24"/>
          <w:vertAlign w:val="superscript"/>
        </w:rPr>
        <w:footnoteReference w:customMarkFollows="0" w:id="0"/>
      </w:r>
      <w:r w:rsidDel="00000000" w:rsidR="00000000" w:rsidRPr="00000000">
        <w:rPr>
          <w:rFonts w:ascii="Garamond" w:cs="Garamond" w:eastAsia="Garamond" w:hAnsi="Garamond"/>
          <w:sz w:val="24"/>
          <w:szCs w:val="24"/>
          <w:rtl w:val="0"/>
        </w:rPr>
        <w:t xml:space="preserve"> and cross-reference;</w:t>
      </w:r>
      <w:r w:rsidDel="00000000" w:rsidR="00000000" w:rsidRPr="00000000">
        <w:rPr>
          <w:rFonts w:ascii="Garamond" w:cs="Garamond" w:eastAsia="Garamond" w:hAnsi="Garamond"/>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E">
      <w:pPr>
        <w:numPr>
          <w:ilvl w:val="1"/>
          <w:numId w:val="3"/>
        </w:numPr>
        <w:spacing w:after="0" w:line="240" w:lineRule="auto"/>
        <w:ind w:left="993"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Chapter in Edited Book: in footnote</w:t>
      </w:r>
      <w:r w:rsidDel="00000000" w:rsidR="00000000" w:rsidRPr="00000000">
        <w:rPr>
          <w:rFonts w:ascii="Garamond" w:cs="Garamond" w:eastAsia="Garamond" w:hAnsi="Garamond"/>
          <w:sz w:val="24"/>
          <w:szCs w:val="24"/>
          <w:vertAlign w:val="superscript"/>
        </w:rPr>
        <w:footnoteReference w:customMarkFollows="0" w:id="2"/>
      </w:r>
      <w:r w:rsidDel="00000000" w:rsidR="00000000" w:rsidRPr="00000000">
        <w:rPr>
          <w:rFonts w:ascii="Garamond" w:cs="Garamond" w:eastAsia="Garamond" w:hAnsi="Garamond"/>
          <w:sz w:val="24"/>
          <w:szCs w:val="24"/>
          <w:rtl w:val="0"/>
        </w:rPr>
        <w:t xml:space="preserve"> and cross-reference;</w:t>
      </w:r>
      <w:r w:rsidDel="00000000" w:rsidR="00000000" w:rsidRPr="00000000">
        <w:rPr>
          <w:rFonts w:ascii="Garamond" w:cs="Garamond" w:eastAsia="Garamond" w:hAnsi="Garamond"/>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1F">
      <w:pPr>
        <w:numPr>
          <w:ilvl w:val="1"/>
          <w:numId w:val="3"/>
        </w:numPr>
        <w:spacing w:after="0" w:line="240" w:lineRule="auto"/>
        <w:ind w:left="993"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Journal Article: in footnote</w:t>
      </w:r>
      <w:r w:rsidDel="00000000" w:rsidR="00000000" w:rsidRPr="00000000">
        <w:rPr>
          <w:rFonts w:ascii="Garamond" w:cs="Garamond" w:eastAsia="Garamond" w:hAnsi="Garamond"/>
          <w:sz w:val="24"/>
          <w:szCs w:val="24"/>
          <w:vertAlign w:val="superscript"/>
        </w:rPr>
        <w:footnoteReference w:customMarkFollows="0" w:id="4"/>
      </w:r>
      <w:r w:rsidDel="00000000" w:rsidR="00000000" w:rsidRPr="00000000">
        <w:rPr>
          <w:rFonts w:ascii="Garamond" w:cs="Garamond" w:eastAsia="Garamond" w:hAnsi="Garamond"/>
          <w:sz w:val="24"/>
          <w:szCs w:val="24"/>
          <w:rtl w:val="0"/>
        </w:rPr>
        <w:t xml:space="preserve"> and cross-reference;</w:t>
      </w:r>
      <w:r w:rsidDel="00000000" w:rsidR="00000000" w:rsidRPr="00000000">
        <w:rPr>
          <w:rFonts w:ascii="Garamond" w:cs="Garamond" w:eastAsia="Garamond" w:hAnsi="Garamond"/>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20">
      <w:pPr>
        <w:numPr>
          <w:ilvl w:val="1"/>
          <w:numId w:val="3"/>
        </w:numPr>
        <w:spacing w:after="0" w:line="240" w:lineRule="auto"/>
        <w:ind w:left="993"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News or Magazine content: printed version</w:t>
      </w:r>
      <w:r w:rsidDel="00000000" w:rsidR="00000000" w:rsidRPr="00000000">
        <w:rPr>
          <w:rFonts w:ascii="Garamond" w:cs="Garamond" w:eastAsia="Garamond" w:hAnsi="Garamond"/>
          <w:sz w:val="24"/>
          <w:szCs w:val="24"/>
          <w:vertAlign w:val="superscript"/>
        </w:rPr>
        <w:footnoteReference w:customMarkFollows="0" w:id="6"/>
      </w:r>
      <w:r w:rsidDel="00000000" w:rsidR="00000000" w:rsidRPr="00000000">
        <w:rPr>
          <w:rFonts w:ascii="Garamond" w:cs="Garamond" w:eastAsia="Garamond" w:hAnsi="Garamond"/>
          <w:sz w:val="24"/>
          <w:szCs w:val="24"/>
          <w:rtl w:val="0"/>
        </w:rPr>
        <w:t xml:space="preserve"> and online version</w:t>
      </w:r>
      <w:r w:rsidDel="00000000" w:rsidR="00000000" w:rsidRPr="00000000">
        <w:rPr>
          <w:rFonts w:ascii="Garamond" w:cs="Garamond" w:eastAsia="Garamond" w:hAnsi="Garamond"/>
          <w:sz w:val="24"/>
          <w:szCs w:val="24"/>
          <w:vertAlign w:val="superscript"/>
        </w:rPr>
        <w:footnoteReference w:customMarkFollows="0" w:id="7"/>
      </w:r>
      <w:r w:rsidDel="00000000" w:rsidR="00000000" w:rsidRPr="00000000">
        <w:rPr>
          <w:rFonts w:ascii="Garamond" w:cs="Garamond" w:eastAsia="Garamond" w:hAnsi="Garamond"/>
          <w:sz w:val="24"/>
          <w:szCs w:val="24"/>
          <w:rtl w:val="0"/>
        </w:rPr>
        <w:t xml:space="preserve"> with cross-reference printed version</w:t>
      </w:r>
      <w:r w:rsidDel="00000000" w:rsidR="00000000" w:rsidRPr="00000000">
        <w:rPr>
          <w:rFonts w:ascii="Garamond" w:cs="Garamond" w:eastAsia="Garamond" w:hAnsi="Garamond"/>
          <w:sz w:val="24"/>
          <w:szCs w:val="24"/>
          <w:vertAlign w:val="superscript"/>
        </w:rPr>
        <w:footnoteReference w:customMarkFollows="0" w:id="8"/>
      </w:r>
      <w:r w:rsidDel="00000000" w:rsidR="00000000" w:rsidRPr="00000000">
        <w:rPr>
          <w:rFonts w:ascii="Garamond" w:cs="Garamond" w:eastAsia="Garamond" w:hAnsi="Garamond"/>
          <w:sz w:val="24"/>
          <w:szCs w:val="24"/>
          <w:rtl w:val="0"/>
        </w:rPr>
        <w:t xml:space="preserve"> and cross-reference online version;</w:t>
      </w:r>
      <w:r w:rsidDel="00000000" w:rsidR="00000000" w:rsidRPr="00000000">
        <w:rPr>
          <w:rFonts w:ascii="Garamond" w:cs="Garamond" w:eastAsia="Garamond" w:hAnsi="Garamond"/>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21">
      <w:pPr>
        <w:spacing w:after="0" w:line="240" w:lineRule="auto"/>
        <w:ind w:left="0" w:firstLine="0"/>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2">
      <w:pPr>
        <w:spacing w:after="0" w:line="240" w:lineRule="auto"/>
        <w:ind w:left="0" w:firstLine="0"/>
        <w:jc w:val="both"/>
        <w:rPr>
          <w:rFonts w:ascii="Garamond" w:cs="Garamond" w:eastAsia="Garamond" w:hAnsi="Garamond"/>
          <w:i w:val="1"/>
          <w:sz w:val="24"/>
          <w:szCs w:val="24"/>
        </w:rPr>
      </w:pPr>
      <w:r w:rsidDel="00000000" w:rsidR="00000000" w:rsidRPr="00000000">
        <w:rPr>
          <w:rFonts w:ascii="Garamond" w:cs="Garamond" w:eastAsia="Garamond" w:hAnsi="Garamond"/>
          <w:i w:val="1"/>
          <w:sz w:val="24"/>
          <w:szCs w:val="24"/>
          <w:rtl w:val="0"/>
        </w:rPr>
        <w:t xml:space="preserve">II.A.1. Sub-heading Level 3</w:t>
      </w:r>
    </w:p>
    <w:p w:rsidR="00000000" w:rsidDel="00000000" w:rsidP="00000000" w:rsidRDefault="00000000" w:rsidRPr="00000000" w14:paraId="00000023">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JCLI invites contributions from law scholars and law practitioners to submit manuscript(s). The Journal believes the scholars and practitioners’ expertise and experiences in law would be valuable, and to the readers in general. Authors who wish to submit manuscripts to JCLI are encouraged to submit the manuscript online by sending the manuscript to our editorial e-mail at contact@jcli-bi.org</w:t>
      </w:r>
      <w:r w:rsidDel="00000000" w:rsidR="00000000" w:rsidRPr="00000000">
        <w:rPr>
          <w:rtl w:val="0"/>
        </w:rPr>
      </w:r>
    </w:p>
    <w:p w:rsidR="00000000" w:rsidDel="00000000" w:rsidP="00000000" w:rsidRDefault="00000000" w:rsidRPr="00000000" w14:paraId="00000024">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II.A.1.i. Sub-heading Level 4</w:t>
      </w:r>
    </w:p>
    <w:p w:rsidR="00000000" w:rsidDel="00000000" w:rsidP="00000000" w:rsidRDefault="00000000" w:rsidRPr="00000000" w14:paraId="00000026">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Garamond" w:cs="Garamond" w:eastAsia="Garamond" w:hAnsi="Garamond"/>
          <w:b w:val="1"/>
          <w:color w:val="000000"/>
          <w:sz w:val="24"/>
          <w:szCs w:val="24"/>
        </w:rPr>
      </w:pPr>
      <w:r w:rsidDel="00000000" w:rsidR="00000000" w:rsidRPr="00000000">
        <w:rPr>
          <w:rFonts w:ascii="Garamond" w:cs="Garamond" w:eastAsia="Garamond" w:hAnsi="Garamond"/>
          <w:color w:val="000000"/>
          <w:sz w:val="24"/>
          <w:szCs w:val="24"/>
          <w:rtl w:val="0"/>
        </w:rPr>
        <w:t xml:space="preserve">JC</w:t>
      </w:r>
      <w:r w:rsidDel="00000000" w:rsidR="00000000" w:rsidRPr="00000000">
        <w:rPr>
          <w:rFonts w:ascii="Garamond" w:cs="Garamond" w:eastAsia="Garamond" w:hAnsi="Garamond"/>
          <w:sz w:val="24"/>
          <w:szCs w:val="24"/>
          <w:rtl w:val="0"/>
        </w:rPr>
        <w:t xml:space="preserve">LI</w:t>
      </w:r>
      <w:r w:rsidDel="00000000" w:rsidR="00000000" w:rsidRPr="00000000">
        <w:rPr>
          <w:rFonts w:ascii="Garamond" w:cs="Garamond" w:eastAsia="Garamond" w:hAnsi="Garamond"/>
          <w:color w:val="000000"/>
          <w:sz w:val="24"/>
          <w:szCs w:val="24"/>
          <w:rtl w:val="0"/>
        </w:rPr>
        <w:t xml:space="preserve"> aims to be indexed with and included in Indonesian Publication Indexing (IPI), Google Scholar, Indonesian Scientific Journal Database (ISJD), Directory of Research Journals Indexing (DRJI), Journal Table of Contents (JournalTOCs), and Directory of Open Access Journal (DOAJ). It is also pursuing national accreditation </w:t>
      </w:r>
      <w:r w:rsidDel="00000000" w:rsidR="00000000" w:rsidRPr="00000000">
        <w:rPr>
          <w:rFonts w:ascii="Garamond" w:cs="Garamond" w:eastAsia="Garamond" w:hAnsi="Garamond"/>
          <w:sz w:val="24"/>
          <w:szCs w:val="24"/>
          <w:rtl w:val="0"/>
        </w:rPr>
        <w:t xml:space="preserve">by the Ministry</w:t>
      </w:r>
      <w:r w:rsidDel="00000000" w:rsidR="00000000" w:rsidRPr="00000000">
        <w:rPr>
          <w:rFonts w:ascii="Garamond" w:cs="Garamond" w:eastAsia="Garamond" w:hAnsi="Garamond"/>
          <w:color w:val="000000"/>
          <w:sz w:val="24"/>
          <w:szCs w:val="24"/>
          <w:rtl w:val="0"/>
        </w:rPr>
        <w:t xml:space="preserve"> of </w:t>
      </w:r>
      <w:r w:rsidDel="00000000" w:rsidR="00000000" w:rsidRPr="00000000">
        <w:rPr>
          <w:rFonts w:ascii="Garamond" w:cs="Garamond" w:eastAsia="Garamond" w:hAnsi="Garamond"/>
          <w:color w:val="000000"/>
          <w:sz w:val="24"/>
          <w:szCs w:val="24"/>
          <w:highlight w:val="white"/>
          <w:rtl w:val="0"/>
        </w:rPr>
        <w:t xml:space="preserve">Education and Culture Republic of Indonesia and inclusion with</w:t>
      </w:r>
      <w:r w:rsidDel="00000000" w:rsidR="00000000" w:rsidRPr="00000000">
        <w:rPr>
          <w:rFonts w:ascii="Garamond" w:cs="Garamond" w:eastAsia="Garamond" w:hAnsi="Garamond"/>
          <w:color w:val="000000"/>
          <w:sz w:val="24"/>
          <w:szCs w:val="24"/>
          <w:rtl w:val="0"/>
        </w:rPr>
        <w:t xml:space="preserve"> the SCOPUS database.</w:t>
      </w:r>
      <w:r w:rsidDel="00000000" w:rsidR="00000000" w:rsidRPr="00000000">
        <w:rPr>
          <w:rtl w:val="0"/>
        </w:rPr>
      </w:r>
    </w:p>
    <w:p w:rsidR="00000000" w:rsidDel="00000000" w:rsidP="00000000" w:rsidRDefault="00000000" w:rsidRPr="00000000" w14:paraId="00000027">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8">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9">
      <w:pPr>
        <w:numPr>
          <w:ilvl w:val="0"/>
          <w:numId w:val="4"/>
        </w:numPr>
        <w:spacing w:after="0" w:line="240" w:lineRule="auto"/>
        <w:ind w:left="540" w:hanging="540"/>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C</w:t>
      </w:r>
      <w:r w:rsidDel="00000000" w:rsidR="00000000" w:rsidRPr="00000000">
        <w:rPr>
          <w:rFonts w:ascii="Garamond" w:cs="Garamond" w:eastAsia="Garamond" w:hAnsi="Garamond"/>
          <w:b w:val="1"/>
          <w:sz w:val="24"/>
          <w:szCs w:val="24"/>
          <w:rtl w:val="0"/>
        </w:rPr>
        <w:t xml:space="preserve">ONCLUDING REMARKS</w:t>
      </w:r>
      <w:r w:rsidDel="00000000" w:rsidR="00000000" w:rsidRPr="00000000">
        <w:rPr>
          <w:rtl w:val="0"/>
        </w:rPr>
      </w:r>
    </w:p>
    <w:p w:rsidR="00000000" w:rsidDel="00000000" w:rsidP="00000000" w:rsidRDefault="00000000" w:rsidRPr="00000000" w14:paraId="0000002A">
      <w:pPr>
        <w:spacing w:after="0" w:line="240" w:lineRule="auto"/>
        <w:ind w:firstLine="720"/>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The template is set to provide the </w:t>
      </w:r>
      <w:r w:rsidDel="00000000" w:rsidR="00000000" w:rsidRPr="00000000">
        <w:rPr>
          <w:rFonts w:ascii="Garamond" w:cs="Garamond" w:eastAsia="Garamond" w:hAnsi="Garamond"/>
          <w:sz w:val="24"/>
          <w:szCs w:val="24"/>
          <w:rtl w:val="0"/>
        </w:rPr>
        <w:t xml:space="preserve">author’s</w:t>
      </w:r>
      <w:r w:rsidDel="00000000" w:rsidR="00000000" w:rsidRPr="00000000">
        <w:rPr>
          <w:rFonts w:ascii="Garamond" w:cs="Garamond" w:eastAsia="Garamond" w:hAnsi="Garamond"/>
          <w:color w:val="000000"/>
          <w:sz w:val="24"/>
          <w:szCs w:val="24"/>
          <w:rtl w:val="0"/>
        </w:rPr>
        <w:t xml:space="preserve"> format used in submitting </w:t>
      </w:r>
      <w:r w:rsidDel="00000000" w:rsidR="00000000" w:rsidRPr="00000000">
        <w:rPr>
          <w:rFonts w:ascii="Garamond" w:cs="Garamond" w:eastAsia="Garamond" w:hAnsi="Garamond"/>
          <w:sz w:val="24"/>
          <w:szCs w:val="24"/>
          <w:rtl w:val="0"/>
        </w:rPr>
        <w:t xml:space="preserve">manuscripts</w:t>
      </w:r>
      <w:r w:rsidDel="00000000" w:rsidR="00000000" w:rsidRPr="00000000">
        <w:rPr>
          <w:rFonts w:ascii="Garamond" w:cs="Garamond" w:eastAsia="Garamond" w:hAnsi="Garamond"/>
          <w:color w:val="000000"/>
          <w:sz w:val="24"/>
          <w:szCs w:val="24"/>
          <w:rtl w:val="0"/>
        </w:rPr>
        <w:t xml:space="preserve"> to JC</w:t>
      </w:r>
      <w:r w:rsidDel="00000000" w:rsidR="00000000" w:rsidRPr="00000000">
        <w:rPr>
          <w:rFonts w:ascii="Garamond" w:cs="Garamond" w:eastAsia="Garamond" w:hAnsi="Garamond"/>
          <w:sz w:val="24"/>
          <w:szCs w:val="24"/>
          <w:rtl w:val="0"/>
        </w:rPr>
        <w:t xml:space="preserve">LI</w:t>
      </w:r>
      <w:r w:rsidDel="00000000" w:rsidR="00000000" w:rsidRPr="00000000">
        <w:rPr>
          <w:rFonts w:ascii="Garamond" w:cs="Garamond" w:eastAsia="Garamond" w:hAnsi="Garamond"/>
          <w:color w:val="000000"/>
          <w:sz w:val="24"/>
          <w:szCs w:val="24"/>
          <w:rtl w:val="0"/>
        </w:rPr>
        <w:t xml:space="preserve">. Manuscripts submitted should fit this template and JC</w:t>
      </w:r>
      <w:r w:rsidDel="00000000" w:rsidR="00000000" w:rsidRPr="00000000">
        <w:rPr>
          <w:rFonts w:ascii="Garamond" w:cs="Garamond" w:eastAsia="Garamond" w:hAnsi="Garamond"/>
          <w:sz w:val="24"/>
          <w:szCs w:val="24"/>
          <w:rtl w:val="0"/>
        </w:rPr>
        <w:t xml:space="preserve">LI</w:t>
      </w:r>
      <w:r w:rsidDel="00000000" w:rsidR="00000000" w:rsidRPr="00000000">
        <w:rPr>
          <w:rFonts w:ascii="Garamond" w:cs="Garamond" w:eastAsia="Garamond" w:hAnsi="Garamond"/>
          <w:color w:val="000000"/>
          <w:sz w:val="24"/>
          <w:szCs w:val="24"/>
          <w:rtl w:val="0"/>
        </w:rPr>
        <w:t xml:space="preserve">’s detailed submission and instruction. For further inquiries please contact the editorial </w:t>
      </w:r>
      <w:r w:rsidDel="00000000" w:rsidR="00000000" w:rsidRPr="00000000">
        <w:rPr>
          <w:rFonts w:ascii="Garamond" w:cs="Garamond" w:eastAsia="Garamond" w:hAnsi="Garamond"/>
          <w:sz w:val="24"/>
          <w:szCs w:val="24"/>
          <w:rtl w:val="0"/>
        </w:rPr>
        <w:t xml:space="preserve">staff</w:t>
      </w:r>
      <w:r w:rsidDel="00000000" w:rsidR="00000000" w:rsidRPr="00000000">
        <w:rPr>
          <w:rFonts w:ascii="Garamond" w:cs="Garamond" w:eastAsia="Garamond" w:hAnsi="Garamond"/>
          <w:color w:val="000000"/>
          <w:sz w:val="24"/>
          <w:szCs w:val="24"/>
          <w:rtl w:val="0"/>
        </w:rPr>
        <w:t xml:space="preserve"> </w:t>
      </w:r>
      <w:r w:rsidDel="00000000" w:rsidR="00000000" w:rsidRPr="00000000">
        <w:rPr>
          <w:rFonts w:ascii="Garamond" w:cs="Garamond" w:eastAsia="Garamond" w:hAnsi="Garamond"/>
          <w:sz w:val="24"/>
          <w:szCs w:val="24"/>
          <w:rtl w:val="0"/>
        </w:rPr>
        <w:t xml:space="preserve">at</w:t>
      </w:r>
      <w:r w:rsidDel="00000000" w:rsidR="00000000" w:rsidRPr="00000000">
        <w:rPr>
          <w:rFonts w:ascii="Garamond" w:cs="Garamond" w:eastAsia="Garamond" w:hAnsi="Garamond"/>
          <w:color w:val="000000"/>
          <w:sz w:val="24"/>
          <w:szCs w:val="24"/>
          <w:rtl w:val="0"/>
        </w:rPr>
        <w:t xml:space="preserve"> </w:t>
      </w:r>
      <w:r w:rsidDel="00000000" w:rsidR="00000000" w:rsidRPr="00000000">
        <w:rPr>
          <w:rFonts w:ascii="Garamond" w:cs="Garamond" w:eastAsia="Garamond" w:hAnsi="Garamond"/>
          <w:sz w:val="24"/>
          <w:szCs w:val="24"/>
          <w:rtl w:val="0"/>
        </w:rPr>
        <w:t xml:space="preserve">contact@jcli-bi.org</w:t>
      </w:r>
    </w:p>
    <w:p w:rsidR="00000000" w:rsidDel="00000000" w:rsidP="00000000" w:rsidRDefault="00000000" w:rsidRPr="00000000" w14:paraId="0000002B">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C">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D">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F">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0">
      <w:pPr>
        <w:spacing w:after="0" w:line="240" w:lineRule="auto"/>
        <w:ind w:left="0" w:firstLine="0"/>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REFERENCES</w:t>
      </w:r>
    </w:p>
    <w:p w:rsidR="00000000" w:rsidDel="00000000" w:rsidP="00000000" w:rsidRDefault="00000000" w:rsidRPr="00000000" w14:paraId="00000031">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2">
      <w:pPr>
        <w:spacing w:after="0" w:line="240" w:lineRule="auto"/>
        <w:ind w:left="720" w:hanging="720"/>
        <w:jc w:val="both"/>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Smith, Smith. </w:t>
      </w:r>
      <w:r w:rsidDel="00000000" w:rsidR="00000000" w:rsidRPr="00000000">
        <w:rPr>
          <w:rFonts w:ascii="Garamond" w:cs="Garamond" w:eastAsia="Garamond" w:hAnsi="Garamond"/>
          <w:i w:val="1"/>
          <w:sz w:val="24"/>
          <w:szCs w:val="24"/>
          <w:rtl w:val="0"/>
        </w:rPr>
        <w:t xml:space="preserve">Swing Time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sz w:val="24"/>
          <w:szCs w:val="24"/>
          <w:highlight w:val="white"/>
          <w:rtl w:val="0"/>
        </w:rPr>
        <w:t xml:space="preserve">New York: Penguin Press, 2016.</w:t>
      </w:r>
    </w:p>
    <w:p w:rsidR="00000000" w:rsidDel="00000000" w:rsidP="00000000" w:rsidRDefault="00000000" w:rsidRPr="00000000" w14:paraId="00000033">
      <w:pPr>
        <w:spacing w:after="0" w:line="240" w:lineRule="auto"/>
        <w:ind w:left="720" w:hanging="720"/>
        <w:jc w:val="both"/>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Thoreau, Henry David. “Walking,” in </w:t>
      </w:r>
      <w:r w:rsidDel="00000000" w:rsidR="00000000" w:rsidRPr="00000000">
        <w:rPr>
          <w:rFonts w:ascii="Garamond" w:cs="Garamond" w:eastAsia="Garamond" w:hAnsi="Garamond"/>
          <w:i w:val="1"/>
          <w:sz w:val="24"/>
          <w:szCs w:val="24"/>
          <w:rtl w:val="0"/>
        </w:rPr>
        <w:t xml:space="preserve">The Making of the American Essay</w:t>
      </w:r>
      <w:r w:rsidDel="00000000" w:rsidR="00000000" w:rsidRPr="00000000">
        <w:rPr>
          <w:rFonts w:ascii="Garamond" w:cs="Garamond" w:eastAsia="Garamond" w:hAnsi="Garamond"/>
          <w:sz w:val="24"/>
          <w:szCs w:val="24"/>
          <w:highlight w:val="white"/>
          <w:rtl w:val="0"/>
        </w:rPr>
        <w:t xml:space="preserve">, ed. John D’Agata. Minneapolis: Graywolf Press, 2016.</w:t>
      </w:r>
    </w:p>
    <w:p w:rsidR="00000000" w:rsidDel="00000000" w:rsidP="00000000" w:rsidRDefault="00000000" w:rsidRPr="00000000" w14:paraId="00000034">
      <w:pPr>
        <w:spacing w:after="0" w:line="240" w:lineRule="auto"/>
        <w:ind w:left="720" w:hanging="720"/>
        <w:jc w:val="both"/>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Keng, Shao-Hsun, Chun-Hung Lin, and Peter F. Orazem. “Expanding College Access in Taiwan, 1978–2014: Effects on Graduate Quality and Income Inequality,” </w:t>
      </w:r>
      <w:r w:rsidDel="00000000" w:rsidR="00000000" w:rsidRPr="00000000">
        <w:rPr>
          <w:rFonts w:ascii="Garamond" w:cs="Garamond" w:eastAsia="Garamond" w:hAnsi="Garamond"/>
          <w:i w:val="1"/>
          <w:sz w:val="24"/>
          <w:szCs w:val="24"/>
          <w:rtl w:val="0"/>
        </w:rPr>
        <w:t xml:space="preserve">Journal of Human Capital</w:t>
      </w:r>
      <w:r w:rsidDel="00000000" w:rsidR="00000000" w:rsidRPr="00000000">
        <w:rPr>
          <w:rFonts w:ascii="Garamond" w:cs="Garamond" w:eastAsia="Garamond" w:hAnsi="Garamond"/>
          <w:sz w:val="24"/>
          <w:szCs w:val="24"/>
          <w:highlight w:val="white"/>
          <w:rtl w:val="0"/>
        </w:rPr>
        <w:t xml:space="preserve"> 11, no. 1 (Spring 2017): 9–10. https://doi.org/10.1086/690235.</w:t>
      </w:r>
    </w:p>
    <w:p w:rsidR="00000000" w:rsidDel="00000000" w:rsidP="00000000" w:rsidRDefault="00000000" w:rsidRPr="00000000" w14:paraId="00000035">
      <w:pPr>
        <w:spacing w:after="0" w:line="240" w:lineRule="auto"/>
        <w:ind w:left="720" w:hanging="720"/>
        <w:jc w:val="both"/>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Mead, Rebecca. “The Prophet of Dystopia,” </w:t>
      </w:r>
      <w:r w:rsidDel="00000000" w:rsidR="00000000" w:rsidRPr="00000000">
        <w:rPr>
          <w:rFonts w:ascii="Garamond" w:cs="Garamond" w:eastAsia="Garamond" w:hAnsi="Garamond"/>
          <w:i w:val="1"/>
          <w:sz w:val="24"/>
          <w:szCs w:val="24"/>
          <w:rtl w:val="0"/>
        </w:rPr>
        <w:t xml:space="preserve">New Yorker</w:t>
      </w:r>
      <w:r w:rsidDel="00000000" w:rsidR="00000000" w:rsidRPr="00000000">
        <w:rPr>
          <w:rFonts w:ascii="Garamond" w:cs="Garamond" w:eastAsia="Garamond" w:hAnsi="Garamond"/>
          <w:sz w:val="24"/>
          <w:szCs w:val="24"/>
          <w:highlight w:val="white"/>
          <w:rtl w:val="0"/>
        </w:rPr>
        <w:t xml:space="preserve">, 17 April 2017.</w:t>
      </w:r>
    </w:p>
    <w:p w:rsidR="00000000" w:rsidDel="00000000" w:rsidP="00000000" w:rsidRDefault="00000000" w:rsidRPr="00000000" w14:paraId="00000036">
      <w:pPr>
        <w:spacing w:after="0" w:line="240" w:lineRule="auto"/>
        <w:ind w:left="720" w:hanging="720"/>
        <w:jc w:val="both"/>
        <w:rPr>
          <w:rFonts w:ascii="Garamond" w:cs="Garamond" w:eastAsia="Garamond" w:hAnsi="Garamond"/>
          <w:sz w:val="24"/>
          <w:szCs w:val="24"/>
        </w:rPr>
      </w:pPr>
      <w:r w:rsidDel="00000000" w:rsidR="00000000" w:rsidRPr="00000000">
        <w:rPr>
          <w:rFonts w:ascii="Garamond" w:cs="Garamond" w:eastAsia="Garamond" w:hAnsi="Garamond"/>
          <w:sz w:val="24"/>
          <w:szCs w:val="24"/>
          <w:highlight w:val="white"/>
          <w:rtl w:val="0"/>
        </w:rPr>
        <w:t xml:space="preserve">Manjoo, Farhad. “Snap Makes a Bet on the Cultural Supremacy of the Camera,” </w:t>
      </w:r>
      <w:r w:rsidDel="00000000" w:rsidR="00000000" w:rsidRPr="00000000">
        <w:rPr>
          <w:rFonts w:ascii="Garamond" w:cs="Garamond" w:eastAsia="Garamond" w:hAnsi="Garamond"/>
          <w:i w:val="1"/>
          <w:sz w:val="24"/>
          <w:szCs w:val="24"/>
          <w:rtl w:val="0"/>
        </w:rPr>
        <w:t xml:space="preserve">New York Times</w:t>
      </w:r>
      <w:r w:rsidDel="00000000" w:rsidR="00000000" w:rsidRPr="00000000">
        <w:rPr>
          <w:rFonts w:ascii="Garamond" w:cs="Garamond" w:eastAsia="Garamond" w:hAnsi="Garamond"/>
          <w:sz w:val="24"/>
          <w:szCs w:val="24"/>
          <w:highlight w:val="white"/>
          <w:rtl w:val="0"/>
        </w:rPr>
        <w:t xml:space="preserve">, 8 March 2017, https://www.nytimes.com/2017/03/08/technology/snap-makes-a-bet-on-the-cultural-supremacy-of-the-camera.html.</w:t>
      </w:r>
      <w:r w:rsidDel="00000000" w:rsidR="00000000" w:rsidRPr="00000000">
        <w:rPr>
          <w:rtl w:val="0"/>
        </w:rPr>
      </w:r>
    </w:p>
    <w:p w:rsidR="00000000" w:rsidDel="00000000" w:rsidP="00000000" w:rsidRDefault="00000000" w:rsidRPr="00000000" w14:paraId="00000037">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8">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9">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A">
      <w:pPr>
        <w:spacing w:after="0" w:line="240" w:lineRule="auto"/>
        <w:ind w:left="0" w:firstLine="0"/>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REGULATIONS &amp; COURT DECISIONS</w:t>
      </w:r>
    </w:p>
    <w:p w:rsidR="00000000" w:rsidDel="00000000" w:rsidP="00000000" w:rsidRDefault="00000000" w:rsidRPr="00000000" w14:paraId="0000003B">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C">
      <w:pPr>
        <w:widowControl w:val="0"/>
        <w:spacing w:after="0" w:line="240" w:lineRule="auto"/>
        <w:ind w:left="720" w:hanging="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Indonesia, Law No. 32 of 2014 on Ocean Affairs. </w:t>
      </w:r>
    </w:p>
    <w:p w:rsidR="00000000" w:rsidDel="00000000" w:rsidP="00000000" w:rsidRDefault="00000000" w:rsidRPr="00000000" w14:paraId="0000003D">
      <w:pPr>
        <w:widowControl w:val="0"/>
        <w:spacing w:after="0" w:line="240" w:lineRule="auto"/>
        <w:ind w:left="720" w:hanging="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Indonesia, Bandung District Court, 4 September 2003, 49/Pdt.G/2003/PN.BDG.</w:t>
      </w:r>
    </w:p>
    <w:p w:rsidR="00000000" w:rsidDel="00000000" w:rsidP="00000000" w:rsidRDefault="00000000" w:rsidRPr="00000000" w14:paraId="0000003E">
      <w:pPr>
        <w:widowControl w:val="0"/>
        <w:spacing w:after="0" w:line="240" w:lineRule="auto"/>
        <w:ind w:left="720" w:hanging="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Indonesia, Bank of Indonesia Regulation No. 23/11/PBI/2021 on National Standard of Payment System.</w:t>
      </w:r>
    </w:p>
    <w:p w:rsidR="00000000" w:rsidDel="00000000" w:rsidP="00000000" w:rsidRDefault="00000000" w:rsidRPr="00000000" w14:paraId="0000003F">
      <w:pPr>
        <w:widowControl w:val="0"/>
        <w:spacing w:after="0" w:line="240" w:lineRule="auto"/>
        <w:ind w:left="720" w:hanging="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Indonesia, Financial Service Authority Regulation No. 12/POJK.03/2021 on Conventional Bank</w:t>
      </w:r>
    </w:p>
    <w:p w:rsidR="00000000" w:rsidDel="00000000" w:rsidP="00000000" w:rsidRDefault="00000000" w:rsidRPr="00000000" w14:paraId="00000040">
      <w:pPr>
        <w:widowControl w:val="0"/>
        <w:spacing w:after="0" w:line="240" w:lineRule="auto"/>
        <w:ind w:left="720" w:hanging="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Indonesia, </w:t>
      </w:r>
      <w:r w:rsidDel="00000000" w:rsidR="00000000" w:rsidRPr="00000000">
        <w:rPr>
          <w:rFonts w:ascii="Garamond" w:cs="Garamond" w:eastAsia="Garamond" w:hAnsi="Garamond"/>
          <w:sz w:val="24"/>
          <w:szCs w:val="24"/>
          <w:highlight w:val="white"/>
          <w:rtl w:val="0"/>
        </w:rPr>
        <w:t xml:space="preserve">Commodity Futures Trading Regulatory Agency Regulation</w:t>
      </w:r>
      <w:r w:rsidDel="00000000" w:rsidR="00000000" w:rsidRPr="00000000">
        <w:rPr>
          <w:rFonts w:ascii="Garamond" w:cs="Garamond" w:eastAsia="Garamond" w:hAnsi="Garamond"/>
          <w:sz w:val="24"/>
          <w:szCs w:val="24"/>
          <w:rtl w:val="0"/>
        </w:rPr>
        <w:t xml:space="preserve"> No. 8 of 2021 on Technical Terms of Physical Market for Crypto-Assets in Futures Exchange.</w:t>
      </w:r>
    </w:p>
    <w:p w:rsidR="00000000" w:rsidDel="00000000" w:rsidP="00000000" w:rsidRDefault="00000000" w:rsidRPr="00000000" w14:paraId="00000041">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2">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3">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4">
      <w:pPr>
        <w:spacing w:after="0" w:line="240" w:lineRule="auto"/>
        <w:ind w:left="0" w:firstLine="0"/>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SPECIAL CITATION GUIDE FOR INDONESIAN LEGAL DOCUMENTS:</w:t>
      </w:r>
    </w:p>
    <w:p w:rsidR="00000000" w:rsidDel="00000000" w:rsidP="00000000" w:rsidRDefault="00000000" w:rsidRPr="00000000" w14:paraId="00000045">
      <w:pPr>
        <w:numPr>
          <w:ilvl w:val="0"/>
          <w:numId w:val="1"/>
        </w:numPr>
        <w:spacing w:after="0" w:line="240" w:lineRule="auto"/>
        <w:ind w:left="36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Regulation (Law; Government Regulation; Regional Government Regulation; Presidential Regulation/Decision; Minister (sector) Regulation/Decision) </w:t>
      </w:r>
    </w:p>
    <w:p w:rsidR="00000000" w:rsidDel="00000000" w:rsidP="00000000" w:rsidRDefault="00000000" w:rsidRPr="00000000" w14:paraId="00000046">
      <w:pPr>
        <w:spacing w:after="0" w:line="240" w:lineRule="auto"/>
        <w:ind w:left="0" w:firstLine="0"/>
        <w:jc w:val="both"/>
        <w:rPr>
          <w:rFonts w:ascii="Garamond" w:cs="Garamond" w:eastAsia="Garamond" w:hAnsi="Garamond"/>
          <w:sz w:val="24"/>
          <w:szCs w:val="24"/>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185"/>
        <w:tblGridChange w:id="0">
          <w:tblGrid>
            <w:gridCol w:w="1815"/>
            <w:gridCol w:w="7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Footnote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vertAlign w:val="superscript"/>
                <w:rtl w:val="0"/>
              </w:rPr>
              <w:t xml:space="preserve">1 </w:t>
            </w:r>
            <w:r w:rsidDel="00000000" w:rsidR="00000000" w:rsidRPr="00000000">
              <w:rPr>
                <w:rFonts w:ascii="Garamond" w:cs="Garamond" w:eastAsia="Garamond" w:hAnsi="Garamond"/>
                <w:sz w:val="24"/>
                <w:szCs w:val="24"/>
                <w:rtl w:val="0"/>
              </w:rPr>
              <w:t xml:space="preserve">Indonesia, Law No. 32 of 2014 on Ocean Affairs (hereinafter Law on Ocean Affairs), Art. 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Cross-reference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vertAlign w:val="superscript"/>
                <w:rtl w:val="0"/>
              </w:rPr>
              <w:t xml:space="preserve">2</w:t>
            </w:r>
            <w:r w:rsidDel="00000000" w:rsidR="00000000" w:rsidRPr="00000000">
              <w:rPr>
                <w:rFonts w:ascii="Garamond" w:cs="Garamond" w:eastAsia="Garamond" w:hAnsi="Garamond"/>
                <w:sz w:val="24"/>
                <w:szCs w:val="24"/>
                <w:rtl w:val="0"/>
              </w:rPr>
              <w:t xml:space="preserve"> Ibid., Art. 58.</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vertAlign w:val="superscript"/>
                <w:rtl w:val="0"/>
              </w:rPr>
              <w:t xml:space="preserve">6</w:t>
            </w:r>
            <w:r w:rsidDel="00000000" w:rsidR="00000000" w:rsidRPr="00000000">
              <w:rPr>
                <w:rFonts w:ascii="Garamond" w:cs="Garamond" w:eastAsia="Garamond" w:hAnsi="Garamond"/>
                <w:sz w:val="24"/>
                <w:szCs w:val="24"/>
                <w:rtl w:val="0"/>
              </w:rPr>
              <w:t xml:space="preserve"> Law on Ocean Affairs, Art. 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Bibliography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Indonesia, Law No. 32 of 2014 on Ocean Affairs.</w:t>
            </w:r>
          </w:p>
        </w:tc>
      </w:tr>
    </w:tbl>
    <w:p w:rsidR="00000000" w:rsidDel="00000000" w:rsidP="00000000" w:rsidRDefault="00000000" w:rsidRPr="00000000" w14:paraId="0000004F">
      <w:pPr>
        <w:spacing w:after="0"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0">
      <w:pPr>
        <w:numPr>
          <w:ilvl w:val="0"/>
          <w:numId w:val="1"/>
        </w:numPr>
        <w:spacing w:after="0" w:line="240" w:lineRule="auto"/>
        <w:ind w:left="36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Court Decision (District Court; High Court; Supreme Court; Constitutional Court)</w:t>
      </w:r>
      <w:r w:rsidDel="00000000" w:rsidR="00000000" w:rsidRPr="00000000">
        <w:rPr>
          <w:rtl w:val="0"/>
        </w:rPr>
      </w:r>
    </w:p>
    <w:p w:rsidR="00000000" w:rsidDel="00000000" w:rsidP="00000000" w:rsidRDefault="00000000" w:rsidRPr="00000000" w14:paraId="00000051">
      <w:pPr>
        <w:spacing w:after="0" w:line="240" w:lineRule="auto"/>
        <w:rPr>
          <w:rFonts w:ascii="Garamond" w:cs="Garamond" w:eastAsia="Garamond" w:hAnsi="Garamond"/>
          <w:b w:val="1"/>
        </w:rPr>
      </w:pPr>
      <w:r w:rsidDel="00000000" w:rsidR="00000000" w:rsidRPr="00000000">
        <w:rPr>
          <w:rtl w:val="0"/>
        </w:rPr>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170"/>
        <w:tblGridChange w:id="0">
          <w:tblGrid>
            <w:gridCol w:w="1830"/>
            <w:gridCol w:w="7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Footnote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vertAlign w:val="superscript"/>
                <w:rtl w:val="0"/>
              </w:rPr>
              <w:t xml:space="preserve">1</w:t>
            </w:r>
            <w:r w:rsidDel="00000000" w:rsidR="00000000" w:rsidRPr="00000000">
              <w:rPr>
                <w:rFonts w:ascii="Garamond" w:cs="Garamond" w:eastAsia="Garamond" w:hAnsi="Garamond"/>
                <w:rtl w:val="0"/>
              </w:rPr>
              <w:t xml:space="preserve"> Bandung District Court, 4 September 2003, 49/Pdt.G/2003/PN.BDG, p. 102.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Cross-reference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vertAlign w:val="superscript"/>
                <w:rtl w:val="0"/>
              </w:rPr>
              <w:t xml:space="preserve">2</w:t>
            </w:r>
            <w:r w:rsidDel="00000000" w:rsidR="00000000" w:rsidRPr="00000000">
              <w:rPr>
                <w:rFonts w:ascii="Garamond" w:cs="Garamond" w:eastAsia="Garamond" w:hAnsi="Garamond"/>
                <w:rtl w:val="0"/>
              </w:rPr>
              <w:t xml:space="preserve"> Ibid., p. 123.</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vertAlign w:val="superscript"/>
                <w:rtl w:val="0"/>
              </w:rPr>
              <w:t xml:space="preserve">6</w:t>
            </w:r>
            <w:r w:rsidDel="00000000" w:rsidR="00000000" w:rsidRPr="00000000">
              <w:rPr>
                <w:rFonts w:ascii="Garamond" w:cs="Garamond" w:eastAsia="Garamond" w:hAnsi="Garamond"/>
                <w:rtl w:val="0"/>
              </w:rPr>
              <w:t xml:space="preserve"> Bandung District Court, 4 September 2003, p. 130.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Bibliography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Bandung District Court, 4 September 2003, 49/Pdt.G/2003/PN.BDG</w:t>
            </w:r>
          </w:p>
        </w:tc>
      </w:tr>
    </w:tbl>
    <w:p w:rsidR="00000000" w:rsidDel="00000000" w:rsidP="00000000" w:rsidRDefault="00000000" w:rsidRPr="00000000" w14:paraId="0000005A">
      <w:pPr>
        <w:spacing w:after="0" w:line="240" w:lineRule="auto"/>
        <w:rPr>
          <w:rFonts w:ascii="Garamond" w:cs="Garamond" w:eastAsia="Garamond" w:hAnsi="Garamond"/>
          <w:b w:val="1"/>
        </w:rPr>
      </w:pPr>
      <w:r w:rsidDel="00000000" w:rsidR="00000000" w:rsidRPr="00000000">
        <w:rPr>
          <w:rtl w:val="0"/>
        </w:rPr>
      </w:r>
    </w:p>
    <w:p w:rsidR="00000000" w:rsidDel="00000000" w:rsidP="00000000" w:rsidRDefault="00000000" w:rsidRPr="00000000" w14:paraId="0000005B">
      <w:pPr>
        <w:numPr>
          <w:ilvl w:val="0"/>
          <w:numId w:val="1"/>
        </w:numPr>
        <w:spacing w:after="0" w:line="240" w:lineRule="auto"/>
        <w:ind w:left="360" w:hanging="360"/>
        <w:rPr>
          <w:rFonts w:ascii="Garamond" w:cs="Garamond" w:eastAsia="Garamond" w:hAnsi="Garamond"/>
          <w:u w:val="none"/>
        </w:rPr>
      </w:pPr>
      <w:r w:rsidDel="00000000" w:rsidR="00000000" w:rsidRPr="00000000">
        <w:rPr>
          <w:rFonts w:ascii="Garamond" w:cs="Garamond" w:eastAsia="Garamond" w:hAnsi="Garamond"/>
          <w:rtl w:val="0"/>
        </w:rPr>
        <w:t xml:space="preserve">Specific Regulation</w:t>
      </w:r>
    </w:p>
    <w:p w:rsidR="00000000" w:rsidDel="00000000" w:rsidP="00000000" w:rsidRDefault="00000000" w:rsidRPr="00000000" w14:paraId="0000005C">
      <w:pPr>
        <w:numPr>
          <w:ilvl w:val="0"/>
          <w:numId w:val="2"/>
        </w:numPr>
        <w:spacing w:after="0" w:line="240" w:lineRule="auto"/>
        <w:ind w:left="720" w:hanging="360"/>
        <w:rPr>
          <w:rFonts w:ascii="Garamond" w:cs="Garamond" w:eastAsia="Garamond" w:hAnsi="Garamond"/>
          <w:u w:val="none"/>
        </w:rPr>
      </w:pPr>
      <w:r w:rsidDel="00000000" w:rsidR="00000000" w:rsidRPr="00000000">
        <w:rPr>
          <w:rFonts w:ascii="Garamond" w:cs="Garamond" w:eastAsia="Garamond" w:hAnsi="Garamond"/>
          <w:i w:val="1"/>
          <w:rtl w:val="0"/>
        </w:rPr>
        <w:t xml:space="preserve">Peraturan Bank Indonesia</w:t>
      </w:r>
      <w:r w:rsidDel="00000000" w:rsidR="00000000" w:rsidRPr="00000000">
        <w:rPr>
          <w:rFonts w:ascii="Garamond" w:cs="Garamond" w:eastAsia="Garamond" w:hAnsi="Garamond"/>
          <w:rtl w:val="0"/>
        </w:rPr>
        <w:t xml:space="preserve"> (PBI): Bank Indonesia Regulation</w:t>
      </w:r>
    </w:p>
    <w:p w:rsidR="00000000" w:rsidDel="00000000" w:rsidP="00000000" w:rsidRDefault="00000000" w:rsidRPr="00000000" w14:paraId="0000005D">
      <w:pPr>
        <w:numPr>
          <w:ilvl w:val="0"/>
          <w:numId w:val="2"/>
        </w:numPr>
        <w:spacing w:after="0" w:line="240" w:lineRule="auto"/>
        <w:ind w:left="720" w:hanging="360"/>
        <w:rPr>
          <w:rFonts w:ascii="Garamond" w:cs="Garamond" w:eastAsia="Garamond" w:hAnsi="Garamond"/>
          <w:u w:val="none"/>
        </w:rPr>
      </w:pPr>
      <w:r w:rsidDel="00000000" w:rsidR="00000000" w:rsidRPr="00000000">
        <w:rPr>
          <w:rFonts w:ascii="Garamond" w:cs="Garamond" w:eastAsia="Garamond" w:hAnsi="Garamond"/>
          <w:i w:val="1"/>
          <w:rtl w:val="0"/>
        </w:rPr>
        <w:t xml:space="preserve">Peraturan Otoritas Jasa Keuangan</w:t>
      </w:r>
      <w:r w:rsidDel="00000000" w:rsidR="00000000" w:rsidRPr="00000000">
        <w:rPr>
          <w:rFonts w:ascii="Garamond" w:cs="Garamond" w:eastAsia="Garamond" w:hAnsi="Garamond"/>
          <w:rtl w:val="0"/>
        </w:rPr>
        <w:t xml:space="preserve"> (POJK): Financial Service Authority Regulation</w:t>
      </w:r>
    </w:p>
    <w:p w:rsidR="00000000" w:rsidDel="00000000" w:rsidP="00000000" w:rsidRDefault="00000000" w:rsidRPr="00000000" w14:paraId="0000005E">
      <w:pPr>
        <w:numPr>
          <w:ilvl w:val="0"/>
          <w:numId w:val="2"/>
        </w:numPr>
        <w:spacing w:after="0" w:line="240" w:lineRule="auto"/>
        <w:ind w:left="720" w:hanging="360"/>
        <w:rPr>
          <w:rFonts w:ascii="Garamond" w:cs="Garamond" w:eastAsia="Garamond" w:hAnsi="Garamond"/>
          <w:u w:val="none"/>
        </w:rPr>
      </w:pPr>
      <w:r w:rsidDel="00000000" w:rsidR="00000000" w:rsidRPr="00000000">
        <w:rPr>
          <w:rFonts w:ascii="Garamond" w:cs="Garamond" w:eastAsia="Garamond" w:hAnsi="Garamond"/>
          <w:i w:val="1"/>
          <w:rtl w:val="0"/>
        </w:rPr>
        <w:t xml:space="preserve">Peraturan </w:t>
      </w:r>
      <w:r w:rsidDel="00000000" w:rsidR="00000000" w:rsidRPr="00000000">
        <w:rPr>
          <w:rFonts w:ascii="Garamond" w:cs="Garamond" w:eastAsia="Garamond" w:hAnsi="Garamond"/>
          <w:i w:val="1"/>
          <w:highlight w:val="white"/>
          <w:rtl w:val="0"/>
        </w:rPr>
        <w:t xml:space="preserve">Badan Pengawas Perdagangan Berjangka Komoditi</w:t>
      </w:r>
      <w:r w:rsidDel="00000000" w:rsidR="00000000" w:rsidRPr="00000000">
        <w:rPr>
          <w:rFonts w:ascii="Garamond" w:cs="Garamond" w:eastAsia="Garamond" w:hAnsi="Garamond"/>
          <w:highlight w:val="white"/>
          <w:rtl w:val="0"/>
        </w:rPr>
        <w:t xml:space="preserve"> (BAPPEBTI): Indonesia’s Commodity Futures Trading Regulatory Agency Regulation</w:t>
      </w:r>
      <w:r w:rsidDel="00000000" w:rsidR="00000000" w:rsidRPr="00000000">
        <w:rPr>
          <w:rtl w:val="0"/>
        </w:rPr>
      </w:r>
    </w:p>
    <w:p w:rsidR="00000000" w:rsidDel="00000000" w:rsidP="00000000" w:rsidRDefault="00000000" w:rsidRPr="00000000" w14:paraId="0000005F">
      <w:pPr>
        <w:spacing w:after="0" w:line="240" w:lineRule="auto"/>
        <w:rPr>
          <w:rFonts w:ascii="Garamond" w:cs="Garamond" w:eastAsia="Garamond" w:hAnsi="Garamond"/>
          <w:b w:val="1"/>
        </w:rPr>
      </w:pPr>
      <w:r w:rsidDel="00000000" w:rsidR="00000000" w:rsidRPr="00000000">
        <w:rPr>
          <w:rtl w:val="0"/>
        </w:rPr>
      </w:r>
    </w:p>
    <w:tbl>
      <w:tblPr>
        <w:tblStyle w:val="Table3"/>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170"/>
        <w:tblGridChange w:id="0">
          <w:tblGrid>
            <w:gridCol w:w="1830"/>
            <w:gridCol w:w="7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Footnote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rPr>
                <w:rFonts w:ascii="Garamond" w:cs="Garamond" w:eastAsia="Garamond" w:hAnsi="Garamond"/>
              </w:rPr>
            </w:pPr>
            <w:r w:rsidDel="00000000" w:rsidR="00000000" w:rsidRPr="00000000">
              <w:rPr>
                <w:rFonts w:ascii="Garamond" w:cs="Garamond" w:eastAsia="Garamond" w:hAnsi="Garamond"/>
                <w:vertAlign w:val="superscript"/>
                <w:rtl w:val="0"/>
              </w:rPr>
              <w:t xml:space="preserve">1</w:t>
            </w:r>
            <w:r w:rsidDel="00000000" w:rsidR="00000000" w:rsidRPr="00000000">
              <w:rPr>
                <w:rFonts w:ascii="Garamond" w:cs="Garamond" w:eastAsia="Garamond" w:hAnsi="Garamond"/>
                <w:rtl w:val="0"/>
              </w:rPr>
              <w:t xml:space="preserve"> Indonesia, Bank Indonesia Regulation No. 23/11/PBI/2021 on National Standard of Payment System (hereinafter PBI 23/2021), Art.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Cross-reference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rPr>
                <w:rFonts w:ascii="Garamond" w:cs="Garamond" w:eastAsia="Garamond" w:hAnsi="Garamond"/>
              </w:rPr>
            </w:pPr>
            <w:r w:rsidDel="00000000" w:rsidR="00000000" w:rsidRPr="00000000">
              <w:rPr>
                <w:rFonts w:ascii="Garamond" w:cs="Garamond" w:eastAsia="Garamond" w:hAnsi="Garamond"/>
                <w:vertAlign w:val="superscript"/>
                <w:rtl w:val="0"/>
              </w:rPr>
              <w:t xml:space="preserve">2</w:t>
            </w:r>
            <w:r w:rsidDel="00000000" w:rsidR="00000000" w:rsidRPr="00000000">
              <w:rPr>
                <w:rFonts w:ascii="Garamond" w:cs="Garamond" w:eastAsia="Garamond" w:hAnsi="Garamond"/>
                <w:rtl w:val="0"/>
              </w:rPr>
              <w:t xml:space="preserve"> Ibid., Art. 12.</w:t>
            </w:r>
          </w:p>
          <w:p w:rsidR="00000000" w:rsidDel="00000000" w:rsidP="00000000" w:rsidRDefault="00000000" w:rsidRPr="00000000" w14:paraId="00000064">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w:t>
            </w:r>
          </w:p>
          <w:p w:rsidR="00000000" w:rsidDel="00000000" w:rsidP="00000000" w:rsidRDefault="00000000" w:rsidRPr="00000000" w14:paraId="00000065">
            <w:pPr>
              <w:widowControl w:val="0"/>
              <w:spacing w:after="0" w:line="240" w:lineRule="auto"/>
              <w:rPr>
                <w:rFonts w:ascii="Garamond" w:cs="Garamond" w:eastAsia="Garamond" w:hAnsi="Garamond"/>
              </w:rPr>
            </w:pPr>
            <w:r w:rsidDel="00000000" w:rsidR="00000000" w:rsidRPr="00000000">
              <w:rPr>
                <w:rFonts w:ascii="Garamond" w:cs="Garamond" w:eastAsia="Garamond" w:hAnsi="Garamond"/>
                <w:vertAlign w:val="superscript"/>
                <w:rtl w:val="0"/>
              </w:rPr>
              <w:t xml:space="preserve">6</w:t>
            </w:r>
            <w:r w:rsidDel="00000000" w:rsidR="00000000" w:rsidRPr="00000000">
              <w:rPr>
                <w:rFonts w:ascii="Garamond" w:cs="Garamond" w:eastAsia="Garamond" w:hAnsi="Garamond"/>
                <w:rtl w:val="0"/>
              </w:rPr>
              <w:t xml:space="preserve"> PBI 23/2021, Art.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Bibliography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Indonesia, Bank Indonesia Regulation No. 23/11/PBI/2021 on National Standard of Payment System</w:t>
            </w:r>
          </w:p>
        </w:tc>
      </w:tr>
    </w:tbl>
    <w:p w:rsidR="00000000" w:rsidDel="00000000" w:rsidP="00000000" w:rsidRDefault="00000000" w:rsidRPr="00000000" w14:paraId="00000068">
      <w:pPr>
        <w:spacing w:after="0"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69">
      <w:pPr>
        <w:spacing w:after="0" w:line="240" w:lineRule="auto"/>
        <w:rPr>
          <w:rFonts w:ascii="Garamond" w:cs="Garamond" w:eastAsia="Garamond" w:hAnsi="Garamond"/>
          <w:b w:val="1"/>
        </w:rPr>
      </w:pPr>
      <w:r w:rsidDel="00000000" w:rsidR="00000000" w:rsidRPr="00000000">
        <w:rPr>
          <w:rtl w:val="0"/>
        </w:rPr>
      </w:r>
    </w:p>
    <w:tbl>
      <w:tblPr>
        <w:tblStyle w:val="Table4"/>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170"/>
        <w:tblGridChange w:id="0">
          <w:tblGrid>
            <w:gridCol w:w="1830"/>
            <w:gridCol w:w="7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Footnote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rPr>
                <w:rFonts w:ascii="Garamond" w:cs="Garamond" w:eastAsia="Garamond" w:hAnsi="Garamond"/>
              </w:rPr>
            </w:pPr>
            <w:r w:rsidDel="00000000" w:rsidR="00000000" w:rsidRPr="00000000">
              <w:rPr>
                <w:rFonts w:ascii="Garamond" w:cs="Garamond" w:eastAsia="Garamond" w:hAnsi="Garamond"/>
                <w:vertAlign w:val="superscript"/>
                <w:rtl w:val="0"/>
              </w:rPr>
              <w:t xml:space="preserve">1</w:t>
            </w:r>
            <w:r w:rsidDel="00000000" w:rsidR="00000000" w:rsidRPr="00000000">
              <w:rPr>
                <w:rFonts w:ascii="Garamond" w:cs="Garamond" w:eastAsia="Garamond" w:hAnsi="Garamond"/>
                <w:rtl w:val="0"/>
              </w:rPr>
              <w:t xml:space="preserve"> Indonesia, Financial Service Authority Regulation No. 12/POJK.03/2021 on Conventional Bank (hereinafter POJK 12/2021), Art.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Cross-reference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rPr>
                <w:rFonts w:ascii="Garamond" w:cs="Garamond" w:eastAsia="Garamond" w:hAnsi="Garamond"/>
              </w:rPr>
            </w:pPr>
            <w:r w:rsidDel="00000000" w:rsidR="00000000" w:rsidRPr="00000000">
              <w:rPr>
                <w:rFonts w:ascii="Garamond" w:cs="Garamond" w:eastAsia="Garamond" w:hAnsi="Garamond"/>
                <w:vertAlign w:val="superscript"/>
                <w:rtl w:val="0"/>
              </w:rPr>
              <w:t xml:space="preserve">2</w:t>
            </w:r>
            <w:r w:rsidDel="00000000" w:rsidR="00000000" w:rsidRPr="00000000">
              <w:rPr>
                <w:rFonts w:ascii="Garamond" w:cs="Garamond" w:eastAsia="Garamond" w:hAnsi="Garamond"/>
                <w:rtl w:val="0"/>
              </w:rPr>
              <w:t xml:space="preserve"> Ibid., Art. 12.</w:t>
            </w:r>
          </w:p>
          <w:p w:rsidR="00000000" w:rsidDel="00000000" w:rsidP="00000000" w:rsidRDefault="00000000" w:rsidRPr="00000000" w14:paraId="0000006E">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w:t>
            </w:r>
          </w:p>
          <w:p w:rsidR="00000000" w:rsidDel="00000000" w:rsidP="00000000" w:rsidRDefault="00000000" w:rsidRPr="00000000" w14:paraId="0000006F">
            <w:pPr>
              <w:widowControl w:val="0"/>
              <w:spacing w:after="0" w:line="240" w:lineRule="auto"/>
              <w:rPr>
                <w:rFonts w:ascii="Garamond" w:cs="Garamond" w:eastAsia="Garamond" w:hAnsi="Garamond"/>
              </w:rPr>
            </w:pPr>
            <w:r w:rsidDel="00000000" w:rsidR="00000000" w:rsidRPr="00000000">
              <w:rPr>
                <w:rFonts w:ascii="Garamond" w:cs="Garamond" w:eastAsia="Garamond" w:hAnsi="Garamond"/>
                <w:vertAlign w:val="superscript"/>
                <w:rtl w:val="0"/>
              </w:rPr>
              <w:t xml:space="preserve">6</w:t>
            </w:r>
            <w:r w:rsidDel="00000000" w:rsidR="00000000" w:rsidRPr="00000000">
              <w:rPr>
                <w:rFonts w:ascii="Garamond" w:cs="Garamond" w:eastAsia="Garamond" w:hAnsi="Garamond"/>
                <w:rtl w:val="0"/>
              </w:rPr>
              <w:t xml:space="preserve"> POJK 12/2021, Art.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Bibliography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Indonesia, Financial Service Authority Regulation No. 12/POJK.03/2021 on Conventional Bank</w:t>
            </w:r>
          </w:p>
        </w:tc>
      </w:tr>
    </w:tbl>
    <w:p w:rsidR="00000000" w:rsidDel="00000000" w:rsidP="00000000" w:rsidRDefault="00000000" w:rsidRPr="00000000" w14:paraId="00000072">
      <w:pPr>
        <w:spacing w:after="0"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73">
      <w:pPr>
        <w:spacing w:after="0" w:line="240" w:lineRule="auto"/>
        <w:rPr>
          <w:rFonts w:ascii="Garamond" w:cs="Garamond" w:eastAsia="Garamond" w:hAnsi="Garamond"/>
          <w:b w:val="1"/>
        </w:rPr>
      </w:pPr>
      <w:r w:rsidDel="00000000" w:rsidR="00000000" w:rsidRPr="00000000">
        <w:rPr>
          <w:rtl w:val="0"/>
        </w:rPr>
      </w:r>
    </w:p>
    <w:tbl>
      <w:tblPr>
        <w:tblStyle w:val="Table5"/>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170"/>
        <w:tblGridChange w:id="0">
          <w:tblGrid>
            <w:gridCol w:w="1830"/>
            <w:gridCol w:w="7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Footnote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rPr>
                <w:rFonts w:ascii="Garamond" w:cs="Garamond" w:eastAsia="Garamond" w:hAnsi="Garamond"/>
              </w:rPr>
            </w:pPr>
            <w:r w:rsidDel="00000000" w:rsidR="00000000" w:rsidRPr="00000000">
              <w:rPr>
                <w:rFonts w:ascii="Garamond" w:cs="Garamond" w:eastAsia="Garamond" w:hAnsi="Garamond"/>
                <w:vertAlign w:val="superscript"/>
                <w:rtl w:val="0"/>
              </w:rPr>
              <w:t xml:space="preserve">1</w:t>
            </w:r>
            <w:r w:rsidDel="00000000" w:rsidR="00000000" w:rsidRPr="00000000">
              <w:rPr>
                <w:rFonts w:ascii="Garamond" w:cs="Garamond" w:eastAsia="Garamond" w:hAnsi="Garamond"/>
                <w:rtl w:val="0"/>
              </w:rPr>
              <w:t xml:space="preserve"> Indonesia, </w:t>
            </w:r>
            <w:r w:rsidDel="00000000" w:rsidR="00000000" w:rsidRPr="00000000">
              <w:rPr>
                <w:rFonts w:ascii="Garamond" w:cs="Garamond" w:eastAsia="Garamond" w:hAnsi="Garamond"/>
                <w:highlight w:val="white"/>
                <w:rtl w:val="0"/>
              </w:rPr>
              <w:t xml:space="preserve">Commodity Futures Trading Regulatory Agency Regulation</w:t>
            </w:r>
            <w:r w:rsidDel="00000000" w:rsidR="00000000" w:rsidRPr="00000000">
              <w:rPr>
                <w:rFonts w:ascii="Garamond" w:cs="Garamond" w:eastAsia="Garamond" w:hAnsi="Garamond"/>
                <w:rtl w:val="0"/>
              </w:rPr>
              <w:t xml:space="preserve"> No. 8 of 2021 on </w:t>
            </w:r>
            <w:r w:rsidDel="00000000" w:rsidR="00000000" w:rsidRPr="00000000">
              <w:rPr>
                <w:rFonts w:ascii="Garamond" w:cs="Garamond" w:eastAsia="Garamond" w:hAnsi="Garamond"/>
                <w:sz w:val="24"/>
                <w:szCs w:val="24"/>
                <w:rtl w:val="0"/>
              </w:rPr>
              <w:t xml:space="preserve">Technical Terms of Physical Market for Crypto-Assets in Futures Exchange</w:t>
            </w:r>
            <w:r w:rsidDel="00000000" w:rsidR="00000000" w:rsidRPr="00000000">
              <w:rPr>
                <w:rFonts w:ascii="Garamond" w:cs="Garamond" w:eastAsia="Garamond" w:hAnsi="Garamond"/>
                <w:rtl w:val="0"/>
              </w:rPr>
              <w:t xml:space="preserve"> (hereinafter BAPPEBTI Regulation 8/2021), Art.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Cross-reference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rPr>
                <w:rFonts w:ascii="Garamond" w:cs="Garamond" w:eastAsia="Garamond" w:hAnsi="Garamond"/>
              </w:rPr>
            </w:pPr>
            <w:r w:rsidDel="00000000" w:rsidR="00000000" w:rsidRPr="00000000">
              <w:rPr>
                <w:rFonts w:ascii="Garamond" w:cs="Garamond" w:eastAsia="Garamond" w:hAnsi="Garamond"/>
                <w:vertAlign w:val="superscript"/>
                <w:rtl w:val="0"/>
              </w:rPr>
              <w:t xml:space="preserve">2</w:t>
            </w:r>
            <w:r w:rsidDel="00000000" w:rsidR="00000000" w:rsidRPr="00000000">
              <w:rPr>
                <w:rFonts w:ascii="Garamond" w:cs="Garamond" w:eastAsia="Garamond" w:hAnsi="Garamond"/>
                <w:rtl w:val="0"/>
              </w:rPr>
              <w:t xml:space="preserve"> Ibid., Art. 12.</w:t>
            </w:r>
          </w:p>
          <w:p w:rsidR="00000000" w:rsidDel="00000000" w:rsidP="00000000" w:rsidRDefault="00000000" w:rsidRPr="00000000" w14:paraId="00000078">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w:t>
            </w:r>
          </w:p>
          <w:p w:rsidR="00000000" w:rsidDel="00000000" w:rsidP="00000000" w:rsidRDefault="00000000" w:rsidRPr="00000000" w14:paraId="00000079">
            <w:pPr>
              <w:widowControl w:val="0"/>
              <w:spacing w:after="0" w:line="240" w:lineRule="auto"/>
              <w:rPr>
                <w:rFonts w:ascii="Garamond" w:cs="Garamond" w:eastAsia="Garamond" w:hAnsi="Garamond"/>
              </w:rPr>
            </w:pPr>
            <w:r w:rsidDel="00000000" w:rsidR="00000000" w:rsidRPr="00000000">
              <w:rPr>
                <w:rFonts w:ascii="Garamond" w:cs="Garamond" w:eastAsia="Garamond" w:hAnsi="Garamond"/>
                <w:vertAlign w:val="superscript"/>
                <w:rtl w:val="0"/>
              </w:rPr>
              <w:t xml:space="preserve">6</w:t>
            </w:r>
            <w:r w:rsidDel="00000000" w:rsidR="00000000" w:rsidRPr="00000000">
              <w:rPr>
                <w:rFonts w:ascii="Garamond" w:cs="Garamond" w:eastAsia="Garamond" w:hAnsi="Garamond"/>
                <w:rtl w:val="0"/>
              </w:rPr>
              <w:t xml:space="preserve"> BAPPEBTI Regulation 8/2021, Art.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Bibliography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Indonesia, </w:t>
            </w:r>
            <w:r w:rsidDel="00000000" w:rsidR="00000000" w:rsidRPr="00000000">
              <w:rPr>
                <w:rFonts w:ascii="Garamond" w:cs="Garamond" w:eastAsia="Garamond" w:hAnsi="Garamond"/>
                <w:highlight w:val="white"/>
                <w:rtl w:val="0"/>
              </w:rPr>
              <w:t xml:space="preserve">Commodity Futures Trading Regulatory Agency Regulation</w:t>
            </w:r>
            <w:r w:rsidDel="00000000" w:rsidR="00000000" w:rsidRPr="00000000">
              <w:rPr>
                <w:rFonts w:ascii="Garamond" w:cs="Garamond" w:eastAsia="Garamond" w:hAnsi="Garamond"/>
                <w:rtl w:val="0"/>
              </w:rPr>
              <w:t xml:space="preserve"> No. 8 of 2021 on </w:t>
            </w:r>
            <w:r w:rsidDel="00000000" w:rsidR="00000000" w:rsidRPr="00000000">
              <w:rPr>
                <w:rFonts w:ascii="Garamond" w:cs="Garamond" w:eastAsia="Garamond" w:hAnsi="Garamond"/>
                <w:sz w:val="24"/>
                <w:szCs w:val="24"/>
                <w:rtl w:val="0"/>
              </w:rPr>
              <w:t xml:space="preserve">Technical Terms of Physical Market for Crypto-Assets in Futures Exchange</w:t>
            </w:r>
            <w:r w:rsidDel="00000000" w:rsidR="00000000" w:rsidRPr="00000000">
              <w:rPr>
                <w:rtl w:val="0"/>
              </w:rPr>
            </w:r>
          </w:p>
        </w:tc>
      </w:tr>
    </w:tbl>
    <w:p w:rsidR="00000000" w:rsidDel="00000000" w:rsidP="00000000" w:rsidRDefault="00000000" w:rsidRPr="00000000" w14:paraId="0000007C">
      <w:pPr>
        <w:spacing w:after="0"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7D">
      <w:pPr>
        <w:spacing w:after="0" w:line="240" w:lineRule="auto"/>
        <w:rPr>
          <w:rFonts w:ascii="Garamond" w:cs="Garamond" w:eastAsia="Garamond" w:hAnsi="Garamond"/>
        </w:rPr>
      </w:pPr>
      <w:r w:rsidDel="00000000" w:rsidR="00000000" w:rsidRPr="00000000">
        <w:rPr>
          <w:rtl w:val="0"/>
        </w:rPr>
      </w:r>
    </w:p>
    <w:sectPr>
      <w:headerReference r:id="rId8" w:type="default"/>
      <w:headerReference r:id="rId9" w:type="first"/>
      <w:headerReference r:id="rId10" w:type="even"/>
      <w:footerReference r:id="rId11" w:type="default"/>
      <w:footerReference r:id="rId12" w:type="even"/>
      <w:pgSz w:h="16838" w:w="11906" w:orient="portrait"/>
      <w:pgMar w:bottom="1440" w:top="1440" w:left="1440" w:right="1440" w:header="25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E">
      <w:pPr>
        <w:spacing w:after="0" w:line="240" w:lineRule="auto"/>
        <w:jc w:val="both"/>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highlight w:val="white"/>
          <w:rtl w:val="0"/>
        </w:rPr>
        <w:t xml:space="preserve">Zadie Smith, </w:t>
      </w:r>
      <w:r w:rsidDel="00000000" w:rsidR="00000000" w:rsidRPr="00000000">
        <w:rPr>
          <w:rFonts w:ascii="Garamond" w:cs="Garamond" w:eastAsia="Garamond" w:hAnsi="Garamond"/>
          <w:i w:val="1"/>
          <w:sz w:val="20"/>
          <w:szCs w:val="20"/>
          <w:rtl w:val="0"/>
        </w:rPr>
        <w:t xml:space="preserve">Swing Time</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highlight w:val="white"/>
          <w:rtl w:val="0"/>
        </w:rPr>
        <w:t xml:space="preserve">(New York: Penguin Press, 2016), 315–16.</w:t>
      </w:r>
      <w:r w:rsidDel="00000000" w:rsidR="00000000" w:rsidRPr="00000000">
        <w:rPr>
          <w:rtl w:val="0"/>
        </w:rPr>
      </w:r>
    </w:p>
  </w:footnote>
  <w:footnote w:id="1">
    <w:p w:rsidR="00000000" w:rsidDel="00000000" w:rsidP="00000000" w:rsidRDefault="00000000" w:rsidRPr="00000000" w14:paraId="0000007F">
      <w:pPr>
        <w:spacing w:after="0" w:line="240" w:lineRule="auto"/>
        <w:jc w:val="both"/>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highlight w:val="white"/>
          <w:rtl w:val="0"/>
        </w:rPr>
        <w:t xml:space="preserve">Smith, </w:t>
      </w:r>
      <w:r w:rsidDel="00000000" w:rsidR="00000000" w:rsidRPr="00000000">
        <w:rPr>
          <w:rFonts w:ascii="Garamond" w:cs="Garamond" w:eastAsia="Garamond" w:hAnsi="Garamond"/>
          <w:i w:val="1"/>
          <w:sz w:val="20"/>
          <w:szCs w:val="20"/>
          <w:rtl w:val="0"/>
        </w:rPr>
        <w:t xml:space="preserve">Swing Time</w:t>
      </w:r>
      <w:r w:rsidDel="00000000" w:rsidR="00000000" w:rsidRPr="00000000">
        <w:rPr>
          <w:rFonts w:ascii="Garamond" w:cs="Garamond" w:eastAsia="Garamond" w:hAnsi="Garamond"/>
          <w:sz w:val="20"/>
          <w:szCs w:val="20"/>
          <w:highlight w:val="white"/>
          <w:rtl w:val="0"/>
        </w:rPr>
        <w:t xml:space="preserve">, 320.</w:t>
      </w:r>
      <w:r w:rsidDel="00000000" w:rsidR="00000000" w:rsidRPr="00000000">
        <w:rPr>
          <w:rtl w:val="0"/>
        </w:rPr>
      </w:r>
    </w:p>
  </w:footnote>
  <w:footnote w:id="2">
    <w:p w:rsidR="00000000" w:rsidDel="00000000" w:rsidP="00000000" w:rsidRDefault="00000000" w:rsidRPr="00000000" w14:paraId="00000080">
      <w:pPr>
        <w:spacing w:after="0" w:line="240" w:lineRule="auto"/>
        <w:jc w:val="both"/>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highlight w:val="white"/>
          <w:rtl w:val="0"/>
        </w:rPr>
        <w:t xml:space="preserve">Henry David Thoreau, “Walking,” in </w:t>
      </w:r>
      <w:r w:rsidDel="00000000" w:rsidR="00000000" w:rsidRPr="00000000">
        <w:rPr>
          <w:rFonts w:ascii="Garamond" w:cs="Garamond" w:eastAsia="Garamond" w:hAnsi="Garamond"/>
          <w:i w:val="1"/>
          <w:sz w:val="20"/>
          <w:szCs w:val="20"/>
          <w:rtl w:val="0"/>
        </w:rPr>
        <w:t xml:space="preserve">The Making of the American Essay</w:t>
      </w:r>
      <w:r w:rsidDel="00000000" w:rsidR="00000000" w:rsidRPr="00000000">
        <w:rPr>
          <w:rFonts w:ascii="Garamond" w:cs="Garamond" w:eastAsia="Garamond" w:hAnsi="Garamond"/>
          <w:sz w:val="20"/>
          <w:szCs w:val="20"/>
          <w:highlight w:val="white"/>
          <w:rtl w:val="0"/>
        </w:rPr>
        <w:t xml:space="preserve">, ed. John D’Agata (Minneapolis: Graywolf Press, 2016), 177–78.</w:t>
      </w:r>
      <w:r w:rsidDel="00000000" w:rsidR="00000000" w:rsidRPr="00000000">
        <w:rPr>
          <w:rtl w:val="0"/>
        </w:rPr>
      </w:r>
    </w:p>
  </w:footnote>
  <w:footnote w:id="3">
    <w:p w:rsidR="00000000" w:rsidDel="00000000" w:rsidP="00000000" w:rsidRDefault="00000000" w:rsidRPr="00000000" w14:paraId="00000081">
      <w:pPr>
        <w:spacing w:after="0" w:line="240" w:lineRule="auto"/>
        <w:jc w:val="both"/>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highlight w:val="white"/>
          <w:rtl w:val="0"/>
        </w:rPr>
        <w:t xml:space="preserve">Thoreau, “Walking,” 182.</w:t>
      </w:r>
      <w:r w:rsidDel="00000000" w:rsidR="00000000" w:rsidRPr="00000000">
        <w:rPr>
          <w:rtl w:val="0"/>
        </w:rPr>
      </w:r>
    </w:p>
  </w:footnote>
  <w:footnote w:id="4">
    <w:p w:rsidR="00000000" w:rsidDel="00000000" w:rsidP="00000000" w:rsidRDefault="00000000" w:rsidRPr="00000000" w14:paraId="00000082">
      <w:pPr>
        <w:spacing w:after="0" w:line="240" w:lineRule="auto"/>
        <w:jc w:val="both"/>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highlight w:val="white"/>
          <w:rtl w:val="0"/>
        </w:rPr>
        <w:t xml:space="preserve">Shao-Hsun Keng, Chun-Hung Lin, and Peter F. Orazem, “Expanding College Access in Taiwan, 1978–2014: Effects on Graduate Quality and Income Inequality,” </w:t>
      </w:r>
      <w:r w:rsidDel="00000000" w:rsidR="00000000" w:rsidRPr="00000000">
        <w:rPr>
          <w:rFonts w:ascii="Garamond" w:cs="Garamond" w:eastAsia="Garamond" w:hAnsi="Garamond"/>
          <w:i w:val="1"/>
          <w:sz w:val="20"/>
          <w:szCs w:val="20"/>
          <w:rtl w:val="0"/>
        </w:rPr>
        <w:t xml:space="preserve">Journal of Human Capital</w:t>
      </w:r>
      <w:r w:rsidDel="00000000" w:rsidR="00000000" w:rsidRPr="00000000">
        <w:rPr>
          <w:rFonts w:ascii="Garamond" w:cs="Garamond" w:eastAsia="Garamond" w:hAnsi="Garamond"/>
          <w:sz w:val="20"/>
          <w:szCs w:val="20"/>
          <w:highlight w:val="white"/>
          <w:rtl w:val="0"/>
        </w:rPr>
        <w:t xml:space="preserve"> 11, no. 1 (Spring 2017): 9–10, https://doi.org/10.1086/690235.</w:t>
      </w:r>
      <w:r w:rsidDel="00000000" w:rsidR="00000000" w:rsidRPr="00000000">
        <w:rPr>
          <w:rtl w:val="0"/>
        </w:rPr>
      </w:r>
    </w:p>
  </w:footnote>
  <w:footnote w:id="5">
    <w:p w:rsidR="00000000" w:rsidDel="00000000" w:rsidP="00000000" w:rsidRDefault="00000000" w:rsidRPr="00000000" w14:paraId="00000083">
      <w:pPr>
        <w:spacing w:after="0" w:line="240" w:lineRule="auto"/>
        <w:jc w:val="both"/>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highlight w:val="white"/>
          <w:rtl w:val="0"/>
        </w:rPr>
        <w:t xml:space="preserve">Keng, Lin, and Orazem, “Expanding College Access,” 23.</w:t>
      </w:r>
      <w:r w:rsidDel="00000000" w:rsidR="00000000" w:rsidRPr="00000000">
        <w:rPr>
          <w:rtl w:val="0"/>
        </w:rPr>
      </w:r>
    </w:p>
  </w:footnote>
  <w:footnote w:id="6">
    <w:p w:rsidR="00000000" w:rsidDel="00000000" w:rsidP="00000000" w:rsidRDefault="00000000" w:rsidRPr="00000000" w14:paraId="00000084">
      <w:pPr>
        <w:spacing w:after="0" w:line="240" w:lineRule="auto"/>
        <w:jc w:val="both"/>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highlight w:val="white"/>
          <w:rtl w:val="0"/>
        </w:rPr>
        <w:t xml:space="preserve">Rebecca Mead, “The Prophet of Dystopia,” </w:t>
      </w:r>
      <w:r w:rsidDel="00000000" w:rsidR="00000000" w:rsidRPr="00000000">
        <w:rPr>
          <w:rFonts w:ascii="Garamond" w:cs="Garamond" w:eastAsia="Garamond" w:hAnsi="Garamond"/>
          <w:i w:val="1"/>
          <w:sz w:val="20"/>
          <w:szCs w:val="20"/>
          <w:rtl w:val="0"/>
        </w:rPr>
        <w:t xml:space="preserve">New Yorker</w:t>
      </w:r>
      <w:r w:rsidDel="00000000" w:rsidR="00000000" w:rsidRPr="00000000">
        <w:rPr>
          <w:rFonts w:ascii="Garamond" w:cs="Garamond" w:eastAsia="Garamond" w:hAnsi="Garamond"/>
          <w:sz w:val="20"/>
          <w:szCs w:val="20"/>
          <w:highlight w:val="white"/>
          <w:rtl w:val="0"/>
        </w:rPr>
        <w:t xml:space="preserve">, 17 April 2017, 43.</w:t>
      </w:r>
      <w:r w:rsidDel="00000000" w:rsidR="00000000" w:rsidRPr="00000000">
        <w:rPr>
          <w:rtl w:val="0"/>
        </w:rPr>
      </w:r>
    </w:p>
  </w:footnote>
  <w:footnote w:id="7">
    <w:p w:rsidR="00000000" w:rsidDel="00000000" w:rsidP="00000000" w:rsidRDefault="00000000" w:rsidRPr="00000000" w14:paraId="00000085">
      <w:pPr>
        <w:spacing w:after="0" w:line="240" w:lineRule="auto"/>
        <w:jc w:val="both"/>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highlight w:val="white"/>
          <w:rtl w:val="0"/>
        </w:rPr>
        <w:t xml:space="preserve">Farhad Manjoo, “Snap Makes a Bet on the Cultural Supremacy of the Camera,” </w:t>
      </w:r>
      <w:r w:rsidDel="00000000" w:rsidR="00000000" w:rsidRPr="00000000">
        <w:rPr>
          <w:rFonts w:ascii="Garamond" w:cs="Garamond" w:eastAsia="Garamond" w:hAnsi="Garamond"/>
          <w:i w:val="1"/>
          <w:sz w:val="20"/>
          <w:szCs w:val="20"/>
          <w:rtl w:val="0"/>
        </w:rPr>
        <w:t xml:space="preserve">New York Times</w:t>
      </w:r>
      <w:r w:rsidDel="00000000" w:rsidR="00000000" w:rsidRPr="00000000">
        <w:rPr>
          <w:rFonts w:ascii="Garamond" w:cs="Garamond" w:eastAsia="Garamond" w:hAnsi="Garamond"/>
          <w:sz w:val="20"/>
          <w:szCs w:val="20"/>
          <w:highlight w:val="white"/>
          <w:rtl w:val="0"/>
        </w:rPr>
        <w:t xml:space="preserve">, 8 March 2017, accessed on October 2021, https://www.nytimes.com/2017/03/08/technology/snap-makes-a-bet-on-the-cultural-supremacy-of-the-camera.html.</w:t>
      </w:r>
      <w:r w:rsidDel="00000000" w:rsidR="00000000" w:rsidRPr="00000000">
        <w:rPr>
          <w:rtl w:val="0"/>
        </w:rPr>
      </w:r>
    </w:p>
  </w:footnote>
  <w:footnote w:id="8">
    <w:p w:rsidR="00000000" w:rsidDel="00000000" w:rsidP="00000000" w:rsidRDefault="00000000" w:rsidRPr="00000000" w14:paraId="00000086">
      <w:pPr>
        <w:spacing w:after="0" w:line="240" w:lineRule="auto"/>
        <w:jc w:val="both"/>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highlight w:val="white"/>
          <w:rtl w:val="0"/>
        </w:rPr>
        <w:t xml:space="preserve">Mead, “Dystopia,” 47.</w:t>
      </w:r>
      <w:r w:rsidDel="00000000" w:rsidR="00000000" w:rsidRPr="00000000">
        <w:rPr>
          <w:rtl w:val="0"/>
        </w:rPr>
      </w:r>
    </w:p>
  </w:footnote>
  <w:footnote w:id="9">
    <w:p w:rsidR="00000000" w:rsidDel="00000000" w:rsidP="00000000" w:rsidRDefault="00000000" w:rsidRPr="00000000" w14:paraId="00000087">
      <w:pPr>
        <w:spacing w:after="0" w:line="240" w:lineRule="auto"/>
        <w:jc w:val="both"/>
        <w:rPr>
          <w:rFonts w:ascii="Garamond" w:cs="Garamond" w:eastAsia="Garamond" w:hAnsi="Garamond"/>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highlight w:val="white"/>
          <w:rtl w:val="0"/>
        </w:rPr>
        <w:t xml:space="preserve">Manjoo, “Snap.”</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Journal of Central Bank Law </w:t>
    </w:r>
    <w:r w:rsidDel="00000000" w:rsidR="00000000" w:rsidRPr="00000000">
      <w:rPr>
        <w:sz w:val="16"/>
        <w:szCs w:val="16"/>
        <w:rtl w:val="0"/>
      </w:rPr>
      <w:t xml:space="preserve">and</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Institutions, Vol.1</w:t>
    </w:r>
    <w:r w:rsidDel="00000000" w:rsidR="00000000" w:rsidRPr="00000000">
      <w:rPr>
        <w:sz w:val="16"/>
        <w:szCs w:val="16"/>
        <w:rtl w:val="0"/>
      </w:rPr>
      <w:t xml:space="preserve"> No. 1</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xx-xx.</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e-ISSN: </w:t>
    </w:r>
    <w:r w:rsidDel="00000000" w:rsidR="00000000" w:rsidRPr="00000000">
      <w:rPr>
        <w:sz w:val="16"/>
        <w:szCs w:val="16"/>
        <w:rtl w:val="0"/>
      </w:rPr>
      <w:t xml:space="preserve">xxxx</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sz w:val="16"/>
        <w:szCs w:val="16"/>
        <w:rtl w:val="0"/>
      </w:rPr>
      <w:t xml:space="preserve">xxxx</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DOI: 10.17304/jc</w:t>
    </w:r>
    <w:r w:rsidDel="00000000" w:rsidR="00000000" w:rsidRPr="00000000">
      <w:rPr>
        <w:sz w:val="16"/>
        <w:szCs w:val="16"/>
        <w:rtl w:val="0"/>
      </w:rPr>
      <w:t xml:space="preserve">li</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.vol1.1.xx</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center"/>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TITLE OF THE ARTICLE, MAXIMUM OF SIX WORDS</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center"/>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JOURNAL OF CENTRAL BANK, INSTITUTIONS AND LAW (VOL. 1, NO.1, 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III.%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055D5"/>
    <w:pPr>
      <w:spacing w:after="200" w:line="276" w:lineRule="auto"/>
    </w:pPr>
    <w:rPr>
      <w:sz w:val="22"/>
      <w:szCs w:val="22"/>
      <w:lang w:val="en-US"/>
    </w:rPr>
  </w:style>
  <w:style w:type="paragraph" w:styleId="Heading2">
    <w:name w:val="heading 2"/>
    <w:basedOn w:val="Normal"/>
    <w:link w:val="Heading2Char"/>
    <w:uiPriority w:val="9"/>
    <w:qFormat w:val="1"/>
    <w:rsid w:val="00AA22CF"/>
    <w:pPr>
      <w:spacing w:after="100" w:afterAutospacing="1" w:before="100" w:beforeAutospacing="1" w:line="240" w:lineRule="auto"/>
      <w:outlineLvl w:val="1"/>
    </w:pPr>
    <w:rPr>
      <w:rFonts w:ascii="Times New Roman" w:eastAsia="Times New Roman" w:hAnsi="Times New Roman"/>
      <w:b w:val="1"/>
      <w:bCs w:val="1"/>
      <w:sz w:val="36"/>
      <w:szCs w:val="36"/>
    </w:rPr>
  </w:style>
  <w:style w:type="paragraph" w:styleId="Heading3">
    <w:name w:val="heading 3"/>
    <w:basedOn w:val="Normal"/>
    <w:link w:val="Heading3Char"/>
    <w:uiPriority w:val="9"/>
    <w:qFormat w:val="1"/>
    <w:rsid w:val="00AA22CF"/>
    <w:pPr>
      <w:spacing w:after="100" w:afterAutospacing="1" w:before="100" w:beforeAutospacing="1" w:line="240" w:lineRule="auto"/>
      <w:outlineLvl w:val="2"/>
    </w:pPr>
    <w:rPr>
      <w:rFonts w:ascii="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uiPriority w:val="9"/>
    <w:rsid w:val="00AA22CF"/>
    <w:rPr>
      <w:rFonts w:ascii="Times New Roman" w:cs="Times New Roman" w:eastAsia="Times New Roman" w:hAnsi="Times New Roman"/>
      <w:b w:val="1"/>
      <w:bCs w:val="1"/>
      <w:sz w:val="36"/>
      <w:szCs w:val="36"/>
    </w:rPr>
  </w:style>
  <w:style w:type="character" w:styleId="Heading3Char" w:customStyle="1">
    <w:name w:val="Heading 3 Char"/>
    <w:link w:val="Heading3"/>
    <w:uiPriority w:val="9"/>
    <w:rsid w:val="00AA22CF"/>
    <w:rPr>
      <w:rFonts w:ascii="Times New Roman" w:cs="Times New Roman" w:eastAsia="Times New Roman" w:hAnsi="Times New Roman"/>
      <w:b w:val="1"/>
      <w:bCs w:val="1"/>
      <w:sz w:val="27"/>
      <w:szCs w:val="27"/>
    </w:rPr>
  </w:style>
  <w:style w:type="character" w:styleId="Strong">
    <w:name w:val="Strong"/>
    <w:uiPriority w:val="22"/>
    <w:qFormat w:val="1"/>
    <w:rsid w:val="00AA22CF"/>
    <w:rPr>
      <w:b w:val="1"/>
      <w:bCs w:val="1"/>
    </w:rPr>
  </w:style>
  <w:style w:type="character" w:styleId="apple-converted-space" w:customStyle="1">
    <w:name w:val="apple-converted-space"/>
    <w:rsid w:val="00AA22CF"/>
  </w:style>
  <w:style w:type="paragraph" w:styleId="NormalWeb">
    <w:name w:val="Normal (Web)"/>
    <w:basedOn w:val="Normal"/>
    <w:uiPriority w:val="99"/>
    <w:semiHidden w:val="1"/>
    <w:unhideWhenUsed w:val="1"/>
    <w:rsid w:val="00AA22CF"/>
    <w:pPr>
      <w:spacing w:after="100" w:afterAutospacing="1" w:before="100" w:beforeAutospacing="1" w:line="240" w:lineRule="auto"/>
    </w:pPr>
    <w:rPr>
      <w:rFonts w:ascii="Times New Roman" w:eastAsia="Times New Roman" w:hAnsi="Times New Roman"/>
      <w:sz w:val="24"/>
      <w:szCs w:val="24"/>
    </w:rPr>
  </w:style>
  <w:style w:type="character" w:styleId="Emphasis">
    <w:name w:val="Emphasis"/>
    <w:uiPriority w:val="20"/>
    <w:qFormat w:val="1"/>
    <w:rsid w:val="00AA22CF"/>
    <w:rPr>
      <w:i w:val="1"/>
      <w:iCs w:val="1"/>
    </w:rPr>
  </w:style>
  <w:style w:type="paragraph" w:styleId="bodyabstract" w:customStyle="1">
    <w:name w:val="bodyabstract"/>
    <w:basedOn w:val="Normal"/>
    <w:rsid w:val="00AA22CF"/>
    <w:pPr>
      <w:spacing w:after="100" w:afterAutospacing="1" w:before="100" w:beforeAutospacing="1" w:line="240" w:lineRule="auto"/>
    </w:pPr>
    <w:rPr>
      <w:rFonts w:ascii="Times New Roman" w:eastAsia="Times New Roman" w:hAnsi="Times New Roman"/>
      <w:sz w:val="24"/>
      <w:szCs w:val="24"/>
    </w:rPr>
  </w:style>
  <w:style w:type="paragraph" w:styleId="body" w:customStyle="1">
    <w:name w:val="body"/>
    <w:basedOn w:val="Normal"/>
    <w:rsid w:val="00AA22CF"/>
    <w:pPr>
      <w:spacing w:after="100" w:afterAutospacing="1" w:before="100" w:beforeAutospacing="1" w:line="240" w:lineRule="auto"/>
    </w:pPr>
    <w:rPr>
      <w:rFonts w:ascii="Times New Roman" w:eastAsia="Times New Roman" w:hAnsi="Times New Roman"/>
      <w:sz w:val="24"/>
      <w:szCs w:val="24"/>
    </w:rPr>
  </w:style>
  <w:style w:type="character" w:styleId="Hyperlink">
    <w:name w:val="Hyperlink"/>
    <w:uiPriority w:val="99"/>
    <w:unhideWhenUsed w:val="1"/>
    <w:rsid w:val="00AA22CF"/>
    <w:rPr>
      <w:color w:val="0000ff"/>
      <w:u w:val="single"/>
    </w:rPr>
  </w:style>
  <w:style w:type="paragraph" w:styleId="HTMLPreformatted">
    <w:name w:val="HTML Preformatted"/>
    <w:basedOn w:val="Normal"/>
    <w:link w:val="HTMLPreformattedChar"/>
    <w:uiPriority w:val="99"/>
    <w:semiHidden w:val="1"/>
    <w:unhideWhenUsed w:val="1"/>
    <w:rsid w:val="00AA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link w:val="HTMLPreformatted"/>
    <w:uiPriority w:val="99"/>
    <w:semiHidden w:val="1"/>
    <w:rsid w:val="00AA22CF"/>
    <w:rPr>
      <w:rFonts w:ascii="Courier New" w:cs="Courier New" w:eastAsia="Times New Roman" w:hAnsi="Courier New"/>
      <w:sz w:val="20"/>
      <w:szCs w:val="20"/>
    </w:rPr>
  </w:style>
  <w:style w:type="paragraph" w:styleId="FootnoteText">
    <w:name w:val="footnote text"/>
    <w:basedOn w:val="Normal"/>
    <w:link w:val="FootnoteTextChar"/>
    <w:uiPriority w:val="99"/>
    <w:unhideWhenUsed w:val="1"/>
    <w:rsid w:val="00E14E32"/>
    <w:rPr>
      <w:sz w:val="20"/>
      <w:szCs w:val="20"/>
    </w:rPr>
  </w:style>
  <w:style w:type="character" w:styleId="FootnoteTextChar" w:customStyle="1">
    <w:name w:val="Footnote Text Char"/>
    <w:basedOn w:val="DefaultParagraphFont"/>
    <w:link w:val="FootnoteText"/>
    <w:uiPriority w:val="99"/>
    <w:rsid w:val="00E14E32"/>
  </w:style>
  <w:style w:type="character" w:styleId="FootnoteReference">
    <w:name w:val="footnote reference"/>
    <w:uiPriority w:val="99"/>
    <w:semiHidden w:val="1"/>
    <w:unhideWhenUsed w:val="1"/>
    <w:rsid w:val="00E14E32"/>
    <w:rPr>
      <w:vertAlign w:val="superscript"/>
    </w:rPr>
  </w:style>
  <w:style w:type="character" w:styleId="UnresolvedMention">
    <w:name w:val="Unresolved Mention"/>
    <w:uiPriority w:val="99"/>
    <w:semiHidden w:val="1"/>
    <w:unhideWhenUsed w:val="1"/>
    <w:rsid w:val="00B06E6A"/>
    <w:rPr>
      <w:color w:val="605e5c"/>
      <w:shd w:color="auto" w:fill="e1dfdd" w:val="clear"/>
    </w:rPr>
  </w:style>
  <w:style w:type="paragraph" w:styleId="Header">
    <w:name w:val="header"/>
    <w:basedOn w:val="Normal"/>
    <w:link w:val="HeaderChar"/>
    <w:uiPriority w:val="99"/>
    <w:unhideWhenUsed w:val="1"/>
    <w:rsid w:val="00387392"/>
    <w:pPr>
      <w:tabs>
        <w:tab w:val="center" w:pos="4680"/>
        <w:tab w:val="right" w:pos="9360"/>
      </w:tabs>
    </w:pPr>
  </w:style>
  <w:style w:type="character" w:styleId="HeaderChar" w:customStyle="1">
    <w:name w:val="Header Char"/>
    <w:link w:val="Header"/>
    <w:uiPriority w:val="99"/>
    <w:rsid w:val="00387392"/>
    <w:rPr>
      <w:sz w:val="22"/>
      <w:szCs w:val="22"/>
      <w:lang w:val="en-US"/>
    </w:rPr>
  </w:style>
  <w:style w:type="paragraph" w:styleId="Footer">
    <w:name w:val="footer"/>
    <w:basedOn w:val="Normal"/>
    <w:link w:val="FooterChar"/>
    <w:uiPriority w:val="99"/>
    <w:unhideWhenUsed w:val="1"/>
    <w:rsid w:val="00387392"/>
    <w:pPr>
      <w:tabs>
        <w:tab w:val="center" w:pos="4680"/>
        <w:tab w:val="right" w:pos="9360"/>
      </w:tabs>
    </w:pPr>
  </w:style>
  <w:style w:type="character" w:styleId="FooterChar" w:customStyle="1">
    <w:name w:val="Footer Char"/>
    <w:link w:val="Footer"/>
    <w:uiPriority w:val="99"/>
    <w:rsid w:val="00387392"/>
    <w:rPr>
      <w:sz w:val="22"/>
      <w:szCs w:val="22"/>
      <w:lang w:val="en-US"/>
    </w:rPr>
  </w:style>
  <w:style w:type="character" w:styleId="PageNumber">
    <w:name w:val="page number"/>
    <w:basedOn w:val="DefaultParagraphFont"/>
    <w:uiPriority w:val="99"/>
    <w:semiHidden w:val="1"/>
    <w:unhideWhenUsed w:val="1"/>
    <w:rsid w:val="00387392"/>
  </w:style>
  <w:style w:type="character" w:styleId="i" w:customStyle="1">
    <w:name w:val="i"/>
    <w:basedOn w:val="DefaultParagraphFont"/>
    <w:rsid w:val="003055D5"/>
  </w:style>
  <w:style w:type="table" w:styleId="TableGrid">
    <w:name w:val="Table Grid"/>
    <w:basedOn w:val="TableNormal"/>
    <w:uiPriority w:val="59"/>
    <w:rsid w:val="00FE472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sjv8NFS8hng4ubSZIhIju7Rtdg==">AMUW2mURe8op6lqHb5fc+JPOV+FJOsySMQCoimYFq0mDma1QhbsOcAuyEXazowsaKksRW6GeiP5wSWqow2acM7u0EmchGelO1xOVl0morwnnbZGzMRhPpmw=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2021-11-16T07:58:00Z</dcterms:created>
  <dc:creator>ilrev</dc:creator>
</cp:coreProperties>
</file>