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229D70" w14:textId="77777777" w:rsidR="00263B8D" w:rsidRDefault="00000000">
      <w:pPr>
        <w:spacing w:after="0" w:line="240" w:lineRule="auto"/>
        <w:jc w:val="center"/>
        <w:rPr>
          <w:rFonts w:ascii="Garamond" w:eastAsia="Garamond" w:hAnsi="Garamond" w:cs="Garamond"/>
          <w:b/>
          <w:color w:val="212121"/>
          <w:sz w:val="28"/>
          <w:szCs w:val="28"/>
        </w:rPr>
      </w:pPr>
      <w:r>
        <w:rPr>
          <w:rFonts w:ascii="Garamond" w:eastAsia="Garamond" w:hAnsi="Garamond" w:cs="Garamond"/>
          <w:b/>
          <w:sz w:val="28"/>
          <w:szCs w:val="28"/>
        </w:rPr>
        <w:t>THIS IS THE TITLE WITH MAXIMUM OF 12 WORDS (1</w:t>
      </w:r>
      <w:r>
        <w:rPr>
          <w:rFonts w:ascii="Garamond" w:eastAsia="Garamond" w:hAnsi="Garamond" w:cs="Garamond"/>
          <w:b/>
          <w:color w:val="212121"/>
          <w:sz w:val="28"/>
          <w:szCs w:val="28"/>
        </w:rPr>
        <w:t>4pt)</w:t>
      </w:r>
    </w:p>
    <w:p w14:paraId="31FE8850" w14:textId="77777777" w:rsidR="00263B8D" w:rsidRDefault="00263B8D">
      <w:pPr>
        <w:spacing w:after="0" w:line="240" w:lineRule="auto"/>
        <w:jc w:val="center"/>
        <w:rPr>
          <w:rFonts w:ascii="Garamond" w:eastAsia="Garamond" w:hAnsi="Garamond" w:cs="Garamond"/>
          <w:b/>
          <w:sz w:val="24"/>
          <w:szCs w:val="24"/>
        </w:rPr>
      </w:pPr>
    </w:p>
    <w:p w14:paraId="0CC02880" w14:textId="77777777" w:rsidR="00263B8D" w:rsidRDefault="00000000">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Name of </w:t>
      </w:r>
      <w:proofErr w:type="gramStart"/>
      <w:r>
        <w:rPr>
          <w:rFonts w:ascii="Garamond" w:eastAsia="Garamond" w:hAnsi="Garamond" w:cs="Garamond"/>
          <w:b/>
          <w:sz w:val="24"/>
          <w:szCs w:val="24"/>
        </w:rPr>
        <w:t>Author(</w:t>
      </w:r>
      <w:proofErr w:type="gramEnd"/>
      <w:r>
        <w:rPr>
          <w:rFonts w:ascii="Garamond" w:eastAsia="Garamond" w:hAnsi="Garamond" w:cs="Garamond"/>
          <w:b/>
          <w:sz w:val="24"/>
          <w:szCs w:val="24"/>
        </w:rPr>
        <w:t>1</w:t>
      </w:r>
      <w:proofErr w:type="gramStart"/>
      <w:r>
        <w:rPr>
          <w:rFonts w:ascii="Garamond" w:eastAsia="Garamond" w:hAnsi="Garamond" w:cs="Garamond"/>
          <w:b/>
          <w:sz w:val="24"/>
          <w:szCs w:val="24"/>
        </w:rPr>
        <w:t>),</w:t>
      </w:r>
      <w:proofErr w:type="spellStart"/>
      <w:r>
        <w:rPr>
          <w:rFonts w:ascii="Garamond" w:eastAsia="Garamond" w:hAnsi="Garamond" w:cs="Garamond"/>
          <w:b/>
          <w:sz w:val="24"/>
          <w:szCs w:val="24"/>
          <w:vertAlign w:val="superscript"/>
        </w:rPr>
        <w:t>a</w:t>
      </w:r>
      <w:proofErr w:type="spellEnd"/>
      <w:proofErr w:type="gramEnd"/>
      <w:r>
        <w:rPr>
          <w:rFonts w:ascii="Garamond" w:eastAsia="Garamond" w:hAnsi="Garamond" w:cs="Garamond"/>
          <w:b/>
          <w:sz w:val="24"/>
          <w:szCs w:val="24"/>
        </w:rPr>
        <w:t xml:space="preserve"> </w:t>
      </w:r>
      <w:proofErr w:type="gramStart"/>
      <w:r>
        <w:rPr>
          <w:rFonts w:ascii="Garamond" w:eastAsia="Garamond" w:hAnsi="Garamond" w:cs="Garamond"/>
          <w:b/>
          <w:sz w:val="24"/>
          <w:szCs w:val="24"/>
        </w:rPr>
        <w:t>Author(</w:t>
      </w:r>
      <w:proofErr w:type="gramEnd"/>
      <w:r>
        <w:rPr>
          <w:rFonts w:ascii="Garamond" w:eastAsia="Garamond" w:hAnsi="Garamond" w:cs="Garamond"/>
          <w:b/>
          <w:sz w:val="24"/>
          <w:szCs w:val="24"/>
        </w:rPr>
        <w:t>2</w:t>
      </w:r>
      <w:proofErr w:type="gramStart"/>
      <w:r>
        <w:rPr>
          <w:rFonts w:ascii="Garamond" w:eastAsia="Garamond" w:hAnsi="Garamond" w:cs="Garamond"/>
          <w:b/>
          <w:sz w:val="24"/>
          <w:szCs w:val="24"/>
        </w:rPr>
        <w:t>),</w:t>
      </w:r>
      <w:r>
        <w:rPr>
          <w:rFonts w:ascii="Garamond" w:eastAsia="Garamond" w:hAnsi="Garamond" w:cs="Garamond"/>
          <w:b/>
          <w:sz w:val="24"/>
          <w:szCs w:val="24"/>
          <w:vertAlign w:val="superscript"/>
        </w:rPr>
        <w:t>b</w:t>
      </w:r>
      <w:proofErr w:type="gramEnd"/>
      <w:r>
        <w:rPr>
          <w:rFonts w:ascii="Garamond" w:eastAsia="Garamond" w:hAnsi="Garamond" w:cs="Garamond"/>
          <w:b/>
          <w:sz w:val="24"/>
          <w:szCs w:val="24"/>
        </w:rPr>
        <w:t xml:space="preserve"> </w:t>
      </w:r>
      <w:proofErr w:type="gramStart"/>
      <w:r>
        <w:rPr>
          <w:rFonts w:ascii="Garamond" w:eastAsia="Garamond" w:hAnsi="Garamond" w:cs="Garamond"/>
          <w:b/>
          <w:sz w:val="24"/>
          <w:szCs w:val="24"/>
        </w:rPr>
        <w:t>Author(</w:t>
      </w:r>
      <w:proofErr w:type="gramEnd"/>
      <w:r>
        <w:rPr>
          <w:rFonts w:ascii="Garamond" w:eastAsia="Garamond" w:hAnsi="Garamond" w:cs="Garamond"/>
          <w:b/>
          <w:sz w:val="24"/>
          <w:szCs w:val="24"/>
        </w:rPr>
        <w:t>3)</w:t>
      </w:r>
      <w:r>
        <w:rPr>
          <w:rFonts w:ascii="Garamond" w:eastAsia="Garamond" w:hAnsi="Garamond" w:cs="Garamond"/>
          <w:b/>
          <w:sz w:val="24"/>
          <w:szCs w:val="24"/>
          <w:vertAlign w:val="superscript"/>
        </w:rPr>
        <w:t>c</w:t>
      </w:r>
    </w:p>
    <w:p w14:paraId="42DE7C42" w14:textId="77777777" w:rsidR="00263B8D" w:rsidRDefault="00000000">
      <w:pPr>
        <w:spacing w:after="0" w:line="240" w:lineRule="auto"/>
        <w:jc w:val="center"/>
        <w:rPr>
          <w:rFonts w:ascii="Garamond" w:eastAsia="Garamond" w:hAnsi="Garamond" w:cs="Garamond"/>
          <w:sz w:val="24"/>
          <w:szCs w:val="24"/>
        </w:rPr>
      </w:pPr>
      <w:proofErr w:type="spellStart"/>
      <w:r>
        <w:rPr>
          <w:rFonts w:ascii="Garamond" w:eastAsia="Garamond" w:hAnsi="Garamond" w:cs="Garamond"/>
          <w:sz w:val="24"/>
          <w:szCs w:val="24"/>
          <w:vertAlign w:val="superscript"/>
        </w:rPr>
        <w:t>a</w:t>
      </w:r>
      <w:r>
        <w:rPr>
          <w:rFonts w:ascii="Garamond" w:eastAsia="Garamond" w:hAnsi="Garamond" w:cs="Garamond"/>
          <w:sz w:val="24"/>
          <w:szCs w:val="24"/>
        </w:rPr>
        <w:t>Affiliation</w:t>
      </w:r>
      <w:proofErr w:type="spellEnd"/>
      <w:r>
        <w:rPr>
          <w:rFonts w:ascii="Garamond" w:eastAsia="Garamond" w:hAnsi="Garamond" w:cs="Garamond"/>
          <w:sz w:val="24"/>
          <w:szCs w:val="24"/>
        </w:rPr>
        <w:t xml:space="preserve"> </w:t>
      </w:r>
      <w:proofErr w:type="gramStart"/>
      <w:r>
        <w:rPr>
          <w:rFonts w:ascii="Garamond" w:eastAsia="Garamond" w:hAnsi="Garamond" w:cs="Garamond"/>
          <w:sz w:val="24"/>
          <w:szCs w:val="24"/>
        </w:rPr>
        <w:t>Author(</w:t>
      </w:r>
      <w:proofErr w:type="gramEnd"/>
      <w:r>
        <w:rPr>
          <w:rFonts w:ascii="Garamond" w:eastAsia="Garamond" w:hAnsi="Garamond" w:cs="Garamond"/>
          <w:sz w:val="24"/>
          <w:szCs w:val="24"/>
        </w:rPr>
        <w:t xml:space="preserve">1), </w:t>
      </w:r>
      <w:proofErr w:type="spellStart"/>
      <w:proofErr w:type="gramStart"/>
      <w:r>
        <w:rPr>
          <w:rFonts w:ascii="Garamond" w:eastAsia="Garamond" w:hAnsi="Garamond" w:cs="Garamond"/>
          <w:sz w:val="24"/>
          <w:szCs w:val="24"/>
          <w:vertAlign w:val="superscript"/>
        </w:rPr>
        <w:t>b</w:t>
      </w:r>
      <w:r>
        <w:rPr>
          <w:rFonts w:ascii="Garamond" w:eastAsia="Garamond" w:hAnsi="Garamond" w:cs="Garamond"/>
          <w:sz w:val="24"/>
          <w:szCs w:val="24"/>
        </w:rPr>
        <w:t>Author</w:t>
      </w:r>
      <w:proofErr w:type="spellEnd"/>
      <w:r>
        <w:rPr>
          <w:rFonts w:ascii="Garamond" w:eastAsia="Garamond" w:hAnsi="Garamond" w:cs="Garamond"/>
          <w:sz w:val="24"/>
          <w:szCs w:val="24"/>
        </w:rPr>
        <w:t>(</w:t>
      </w:r>
      <w:proofErr w:type="gramEnd"/>
      <w:r>
        <w:rPr>
          <w:rFonts w:ascii="Garamond" w:eastAsia="Garamond" w:hAnsi="Garamond" w:cs="Garamond"/>
          <w:sz w:val="24"/>
          <w:szCs w:val="24"/>
        </w:rPr>
        <w:t xml:space="preserve">2), </w:t>
      </w:r>
      <w:proofErr w:type="spellStart"/>
      <w:proofErr w:type="gramStart"/>
      <w:r>
        <w:rPr>
          <w:rFonts w:ascii="Garamond" w:eastAsia="Garamond" w:hAnsi="Garamond" w:cs="Garamond"/>
          <w:sz w:val="24"/>
          <w:szCs w:val="24"/>
          <w:vertAlign w:val="superscript"/>
        </w:rPr>
        <w:t>c</w:t>
      </w:r>
      <w:r>
        <w:rPr>
          <w:rFonts w:ascii="Garamond" w:eastAsia="Garamond" w:hAnsi="Garamond" w:cs="Garamond"/>
          <w:sz w:val="24"/>
          <w:szCs w:val="24"/>
        </w:rPr>
        <w:t>Author</w:t>
      </w:r>
      <w:proofErr w:type="spellEnd"/>
      <w:r>
        <w:rPr>
          <w:rFonts w:ascii="Garamond" w:eastAsia="Garamond" w:hAnsi="Garamond" w:cs="Garamond"/>
          <w:sz w:val="24"/>
          <w:szCs w:val="24"/>
        </w:rPr>
        <w:t>(</w:t>
      </w:r>
      <w:proofErr w:type="gramEnd"/>
      <w:r>
        <w:rPr>
          <w:rFonts w:ascii="Garamond" w:eastAsia="Garamond" w:hAnsi="Garamond" w:cs="Garamond"/>
          <w:sz w:val="24"/>
          <w:szCs w:val="24"/>
        </w:rPr>
        <w:t>3), country</w:t>
      </w:r>
    </w:p>
    <w:p w14:paraId="6C51CDEF" w14:textId="77777777" w:rsidR="00263B8D" w:rsidRDefault="00000000">
      <w:pPr>
        <w:spacing w:after="0" w:line="240" w:lineRule="auto"/>
        <w:jc w:val="center"/>
        <w:rPr>
          <w:rFonts w:ascii="Garamond" w:eastAsia="Garamond" w:hAnsi="Garamond" w:cs="Garamond"/>
          <w:i/>
          <w:sz w:val="24"/>
          <w:szCs w:val="24"/>
        </w:rPr>
      </w:pPr>
      <w:r>
        <w:rPr>
          <w:rFonts w:ascii="Garamond" w:eastAsia="Garamond" w:hAnsi="Garamond" w:cs="Garamond"/>
          <w:i/>
          <w:sz w:val="24"/>
          <w:szCs w:val="24"/>
        </w:rPr>
        <w:t>e-mail: author@provider.com (corresponding author); author@provider.com; author@provider.com</w:t>
      </w:r>
    </w:p>
    <w:p w14:paraId="1956417D" w14:textId="77777777" w:rsidR="00263B8D" w:rsidRDefault="00263B8D">
      <w:pPr>
        <w:spacing w:after="0" w:line="240" w:lineRule="auto"/>
        <w:jc w:val="center"/>
        <w:rPr>
          <w:rFonts w:ascii="Garamond" w:eastAsia="Garamond" w:hAnsi="Garamond" w:cs="Garamond"/>
          <w:b/>
          <w:sz w:val="24"/>
          <w:szCs w:val="24"/>
        </w:rPr>
      </w:pPr>
    </w:p>
    <w:p w14:paraId="1D1B0F09" w14:textId="6FB5332B" w:rsidR="00263B8D" w:rsidRDefault="00000000">
      <w:pPr>
        <w:spacing w:after="0" w:line="240" w:lineRule="auto"/>
        <w:jc w:val="center"/>
        <w:rPr>
          <w:rFonts w:ascii="Garamond" w:eastAsia="Garamond" w:hAnsi="Garamond" w:cs="Garamond"/>
          <w:b/>
          <w:sz w:val="24"/>
          <w:szCs w:val="24"/>
        </w:rPr>
      </w:pPr>
      <w:r>
        <w:rPr>
          <w:rFonts w:ascii="Garamond" w:eastAsia="Garamond" w:hAnsi="Garamond" w:cs="Garamond"/>
          <w:sz w:val="24"/>
          <w:szCs w:val="24"/>
        </w:rPr>
        <w:t>Submitted: 15 December 2021 - Last revised: 1 J</w:t>
      </w:r>
      <w:r w:rsidR="005F40FA">
        <w:rPr>
          <w:rFonts w:ascii="Garamond" w:eastAsia="Garamond" w:hAnsi="Garamond" w:cs="Garamond"/>
          <w:sz w:val="24"/>
          <w:szCs w:val="24"/>
        </w:rPr>
        <w:t>ul</w:t>
      </w:r>
      <w:r>
        <w:rPr>
          <w:rFonts w:ascii="Garamond" w:eastAsia="Garamond" w:hAnsi="Garamond" w:cs="Garamond"/>
          <w:sz w:val="24"/>
          <w:szCs w:val="24"/>
        </w:rPr>
        <w:t xml:space="preserve">y 2022 - Accepted: </w:t>
      </w:r>
      <w:r w:rsidR="005F40FA">
        <w:rPr>
          <w:rFonts w:ascii="Garamond" w:eastAsia="Garamond" w:hAnsi="Garamond" w:cs="Garamond"/>
          <w:sz w:val="24"/>
          <w:szCs w:val="24"/>
        </w:rPr>
        <w:t>3</w:t>
      </w:r>
      <w:r>
        <w:rPr>
          <w:rFonts w:ascii="Garamond" w:eastAsia="Garamond" w:hAnsi="Garamond" w:cs="Garamond"/>
          <w:sz w:val="24"/>
          <w:szCs w:val="24"/>
        </w:rPr>
        <w:t>0 J</w:t>
      </w:r>
      <w:r w:rsidR="005F40FA">
        <w:rPr>
          <w:rFonts w:ascii="Garamond" w:eastAsia="Garamond" w:hAnsi="Garamond" w:cs="Garamond"/>
          <w:sz w:val="24"/>
          <w:szCs w:val="24"/>
        </w:rPr>
        <w:t>ul</w:t>
      </w:r>
      <w:r>
        <w:rPr>
          <w:rFonts w:ascii="Garamond" w:eastAsia="Garamond" w:hAnsi="Garamond" w:cs="Garamond"/>
          <w:sz w:val="24"/>
          <w:szCs w:val="24"/>
        </w:rPr>
        <w:t>y 2022</w:t>
      </w:r>
    </w:p>
    <w:p w14:paraId="321C8FB5" w14:textId="77777777" w:rsidR="00263B8D" w:rsidRDefault="00263B8D">
      <w:pPr>
        <w:spacing w:after="0" w:line="240" w:lineRule="auto"/>
        <w:jc w:val="center"/>
        <w:rPr>
          <w:rFonts w:ascii="Garamond" w:eastAsia="Garamond" w:hAnsi="Garamond" w:cs="Garamond"/>
          <w:b/>
          <w:sz w:val="24"/>
          <w:szCs w:val="24"/>
        </w:rPr>
      </w:pPr>
    </w:p>
    <w:p w14:paraId="0CC1D884" w14:textId="77777777" w:rsidR="00263B8D" w:rsidRDefault="00000000">
      <w:pPr>
        <w:spacing w:after="0" w:line="240" w:lineRule="auto"/>
        <w:jc w:val="center"/>
        <w:rPr>
          <w:rFonts w:ascii="Garamond" w:eastAsia="Garamond" w:hAnsi="Garamond" w:cs="Garamond"/>
          <w:b/>
          <w:sz w:val="20"/>
          <w:szCs w:val="20"/>
        </w:rPr>
      </w:pPr>
      <w:r>
        <w:rPr>
          <w:rFonts w:ascii="Garamond" w:eastAsia="Garamond" w:hAnsi="Garamond" w:cs="Garamond"/>
          <w:b/>
          <w:sz w:val="20"/>
          <w:szCs w:val="20"/>
        </w:rPr>
        <w:t>Abstract</w:t>
      </w:r>
    </w:p>
    <w:p w14:paraId="039BF78E" w14:textId="77777777" w:rsidR="00263B8D" w:rsidRDefault="00263B8D">
      <w:pPr>
        <w:spacing w:after="0" w:line="240" w:lineRule="auto"/>
        <w:jc w:val="center"/>
        <w:rPr>
          <w:rFonts w:ascii="Garamond" w:eastAsia="Garamond" w:hAnsi="Garamond" w:cs="Garamond"/>
          <w:b/>
          <w:sz w:val="20"/>
          <w:szCs w:val="20"/>
        </w:rPr>
      </w:pPr>
    </w:p>
    <w:p w14:paraId="1174AD86" w14:textId="0D703710" w:rsidR="00263B8D"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Garamond" w:hAnsi="Garamond" w:cs="Garamond"/>
          <w:color w:val="212121"/>
          <w:sz w:val="20"/>
          <w:szCs w:val="20"/>
        </w:rPr>
      </w:pPr>
      <w:r>
        <w:rPr>
          <w:rFonts w:ascii="Garamond" w:eastAsia="Garamond" w:hAnsi="Garamond" w:cs="Garamond"/>
          <w:color w:val="212121"/>
          <w:sz w:val="20"/>
          <w:szCs w:val="20"/>
        </w:rPr>
        <w:t xml:space="preserve">In recent </w:t>
      </w:r>
      <w:r w:rsidR="005F40FA">
        <w:rPr>
          <w:rFonts w:ascii="Garamond" w:eastAsia="Garamond" w:hAnsi="Garamond" w:cs="Garamond"/>
          <w:color w:val="212121"/>
          <w:sz w:val="20"/>
          <w:szCs w:val="20"/>
        </w:rPr>
        <w:t>year</w:t>
      </w:r>
      <w:r>
        <w:rPr>
          <w:rFonts w:ascii="Garamond" w:eastAsia="Garamond" w:hAnsi="Garamond" w:cs="Garamond"/>
          <w:color w:val="212121"/>
          <w:sz w:val="20"/>
          <w:szCs w:val="20"/>
        </w:rPr>
        <w:t xml:space="preserve">s, journals have been </w:t>
      </w:r>
      <w:r w:rsidR="005F40FA">
        <w:rPr>
          <w:rFonts w:ascii="Garamond" w:eastAsia="Garamond" w:hAnsi="Garamond" w:cs="Garamond"/>
          <w:color w:val="212121"/>
          <w:sz w:val="20"/>
          <w:szCs w:val="20"/>
        </w:rPr>
        <w:t>a mean</w:t>
      </w:r>
      <w:r>
        <w:rPr>
          <w:rFonts w:ascii="Garamond" w:eastAsia="Garamond" w:hAnsi="Garamond" w:cs="Garamond"/>
          <w:color w:val="212121"/>
          <w:sz w:val="20"/>
          <w:szCs w:val="20"/>
        </w:rPr>
        <w:t xml:space="preserve">s of publishing and disseminating scientific </w:t>
      </w:r>
      <w:r w:rsidR="005F40FA">
        <w:rPr>
          <w:rFonts w:ascii="Garamond" w:eastAsia="Garamond" w:hAnsi="Garamond" w:cs="Garamond"/>
          <w:color w:val="212121"/>
          <w:sz w:val="20"/>
          <w:szCs w:val="20"/>
        </w:rPr>
        <w:t>and</w:t>
      </w:r>
      <w:r>
        <w:rPr>
          <w:rFonts w:ascii="Garamond" w:eastAsia="Garamond" w:hAnsi="Garamond" w:cs="Garamond"/>
          <w:color w:val="212121"/>
          <w:sz w:val="20"/>
          <w:szCs w:val="20"/>
        </w:rPr>
        <w:t xml:space="preserve"> legal findings</w:t>
      </w:r>
      <w:r w:rsidR="005F40FA">
        <w:rPr>
          <w:rFonts w:ascii="Garamond" w:eastAsia="Garamond" w:hAnsi="Garamond" w:cs="Garamond"/>
          <w:color w:val="212121"/>
          <w:sz w:val="20"/>
          <w:szCs w:val="20"/>
        </w:rPr>
        <w:t>,</w:t>
      </w:r>
      <w:r>
        <w:rPr>
          <w:rFonts w:ascii="Garamond" w:eastAsia="Garamond" w:hAnsi="Garamond" w:cs="Garamond"/>
          <w:color w:val="212121"/>
          <w:sz w:val="20"/>
          <w:szCs w:val="20"/>
        </w:rPr>
        <w:t xml:space="preserve"> as well as legal development</w:t>
      </w:r>
      <w:r w:rsidR="005F40FA">
        <w:rPr>
          <w:rFonts w:ascii="Garamond" w:eastAsia="Garamond" w:hAnsi="Garamond" w:cs="Garamond"/>
          <w:color w:val="212121"/>
          <w:sz w:val="20"/>
          <w:szCs w:val="20"/>
        </w:rPr>
        <w:t>s</w:t>
      </w:r>
      <w:r>
        <w:rPr>
          <w:rFonts w:ascii="Garamond" w:eastAsia="Garamond" w:hAnsi="Garamond" w:cs="Garamond"/>
          <w:color w:val="212121"/>
          <w:sz w:val="20"/>
          <w:szCs w:val="20"/>
        </w:rPr>
        <w:t>. Each journal has its own characteristics and criteria. Therefore, this template is set to provide authors in submitting their manuscripts to the Journal of Central Bank Law and Institutions (JCLI). The article begins with the Article Title, Author's Name, Author’s affiliation and email address, followed by an abstract written in italics of 150-200 words, both in English and in Bahasa Indonesia. The abstract should be written in one paragraph</w:t>
      </w:r>
      <w:r w:rsidR="005F40FA">
        <w:rPr>
          <w:rFonts w:ascii="Garamond" w:eastAsia="Garamond" w:hAnsi="Garamond" w:cs="Garamond"/>
          <w:color w:val="212121"/>
          <w:sz w:val="20"/>
          <w:szCs w:val="20"/>
        </w:rPr>
        <w:t>,</w:t>
      </w:r>
      <w:r>
        <w:rPr>
          <w:rFonts w:ascii="Garamond" w:eastAsia="Garamond" w:hAnsi="Garamond" w:cs="Garamond"/>
          <w:color w:val="212121"/>
          <w:sz w:val="20"/>
          <w:szCs w:val="20"/>
        </w:rPr>
        <w:t xml:space="preserve"> </w:t>
      </w:r>
      <w:r w:rsidR="005F40FA">
        <w:rPr>
          <w:rFonts w:ascii="Garamond" w:eastAsia="Garamond" w:hAnsi="Garamond" w:cs="Garamond"/>
          <w:color w:val="212121"/>
          <w:sz w:val="20"/>
          <w:szCs w:val="20"/>
        </w:rPr>
        <w:t>in</w:t>
      </w:r>
      <w:r>
        <w:rPr>
          <w:rFonts w:ascii="Garamond" w:eastAsia="Garamond" w:hAnsi="Garamond" w:cs="Garamond"/>
          <w:color w:val="212121"/>
          <w:sz w:val="20"/>
          <w:szCs w:val="20"/>
        </w:rPr>
        <w:t xml:space="preserve"> 10 pt Garamond </w:t>
      </w:r>
      <w:r w:rsidR="005F40FA">
        <w:rPr>
          <w:rFonts w:ascii="Garamond" w:eastAsia="Garamond" w:hAnsi="Garamond" w:cs="Garamond"/>
          <w:color w:val="212121"/>
          <w:sz w:val="20"/>
          <w:szCs w:val="20"/>
        </w:rPr>
        <w:t>font,</w:t>
      </w:r>
      <w:r>
        <w:rPr>
          <w:rFonts w:ascii="Garamond" w:eastAsia="Garamond" w:hAnsi="Garamond" w:cs="Garamond"/>
          <w:color w:val="212121"/>
          <w:sz w:val="20"/>
          <w:szCs w:val="20"/>
        </w:rPr>
        <w:t xml:space="preserve"> s</w:t>
      </w:r>
      <w:r w:rsidR="005F40FA">
        <w:rPr>
          <w:rFonts w:ascii="Garamond" w:eastAsia="Garamond" w:hAnsi="Garamond" w:cs="Garamond"/>
          <w:color w:val="212121"/>
          <w:sz w:val="20"/>
          <w:szCs w:val="20"/>
        </w:rPr>
        <w:t>ingle-spaced</w:t>
      </w:r>
      <w:r>
        <w:rPr>
          <w:rFonts w:ascii="Garamond" w:eastAsia="Garamond" w:hAnsi="Garamond" w:cs="Garamond"/>
          <w:color w:val="212121"/>
          <w:sz w:val="20"/>
          <w:szCs w:val="20"/>
        </w:rPr>
        <w:t xml:space="preserve">. The abstract </w:t>
      </w:r>
      <w:r w:rsidR="005F40FA">
        <w:rPr>
          <w:rFonts w:ascii="Garamond" w:eastAsia="Garamond" w:hAnsi="Garamond" w:cs="Garamond"/>
          <w:color w:val="212121"/>
          <w:sz w:val="20"/>
          <w:szCs w:val="20"/>
        </w:rPr>
        <w:t xml:space="preserve">should </w:t>
      </w:r>
      <w:r>
        <w:rPr>
          <w:rFonts w:ascii="Garamond" w:eastAsia="Garamond" w:hAnsi="Garamond" w:cs="Garamond"/>
          <w:color w:val="212121"/>
          <w:sz w:val="20"/>
          <w:szCs w:val="20"/>
        </w:rPr>
        <w:t xml:space="preserve">concisely report the aims and outcomes of your research so that readers know exactly what the paper is about. At </w:t>
      </w:r>
      <w:r w:rsidR="005F40FA">
        <w:rPr>
          <w:rFonts w:ascii="Garamond" w:eastAsia="Garamond" w:hAnsi="Garamond" w:cs="Garamond"/>
          <w:color w:val="212121"/>
          <w:sz w:val="20"/>
          <w:szCs w:val="20"/>
        </w:rPr>
        <w:t>a minimum, the abstract should include: the research problem and objective(s); the research method(s); the key result(s) or main argument(s); and the conclusion.</w:t>
      </w:r>
      <w:r>
        <w:rPr>
          <w:rFonts w:ascii="Garamond" w:eastAsia="Garamond" w:hAnsi="Garamond" w:cs="Garamond"/>
          <w:color w:val="212121"/>
          <w:sz w:val="20"/>
          <w:szCs w:val="20"/>
        </w:rPr>
        <w:t xml:space="preserve"> This template should be used for authors who wish to submit their manuscripts to JCLI.</w:t>
      </w:r>
    </w:p>
    <w:p w14:paraId="4431A43A" w14:textId="77777777" w:rsidR="00263B8D" w:rsidRDefault="00263B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Garamond" w:hAnsi="Garamond" w:cs="Garamond"/>
          <w:color w:val="212121"/>
          <w:sz w:val="20"/>
          <w:szCs w:val="20"/>
        </w:rPr>
      </w:pPr>
    </w:p>
    <w:p w14:paraId="3F7627E7" w14:textId="77777777" w:rsidR="00263B8D"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Garamond" w:hAnsi="Garamond" w:cs="Garamond"/>
          <w:color w:val="212121"/>
          <w:sz w:val="20"/>
          <w:szCs w:val="20"/>
        </w:rPr>
      </w:pPr>
      <w:r>
        <w:rPr>
          <w:rFonts w:ascii="Garamond" w:eastAsia="Garamond" w:hAnsi="Garamond" w:cs="Garamond"/>
          <w:b/>
          <w:color w:val="212121"/>
          <w:sz w:val="20"/>
          <w:szCs w:val="20"/>
        </w:rPr>
        <w:t xml:space="preserve">Keywords: </w:t>
      </w:r>
      <w:r>
        <w:rPr>
          <w:rFonts w:ascii="Garamond" w:eastAsia="Garamond" w:hAnsi="Garamond" w:cs="Garamond"/>
          <w:i/>
          <w:color w:val="212121"/>
          <w:sz w:val="20"/>
          <w:szCs w:val="20"/>
        </w:rPr>
        <w:t>keyword 1, keyword 2, keyword 3, keyword 4, keyword 5</w:t>
      </w:r>
    </w:p>
    <w:p w14:paraId="32E592CC" w14:textId="77777777" w:rsidR="00263B8D" w:rsidRDefault="00263B8D">
      <w:pPr>
        <w:spacing w:after="0" w:line="240" w:lineRule="auto"/>
        <w:jc w:val="both"/>
        <w:rPr>
          <w:rFonts w:ascii="Garamond" w:eastAsia="Garamond" w:hAnsi="Garamond" w:cs="Garamond"/>
        </w:rPr>
      </w:pPr>
    </w:p>
    <w:p w14:paraId="2C3D79B2" w14:textId="77777777" w:rsidR="00263B8D" w:rsidRDefault="00263B8D">
      <w:pPr>
        <w:spacing w:after="0" w:line="240" w:lineRule="auto"/>
        <w:jc w:val="both"/>
        <w:rPr>
          <w:rFonts w:ascii="Garamond" w:eastAsia="Garamond" w:hAnsi="Garamond" w:cs="Garamond"/>
        </w:rPr>
      </w:pPr>
    </w:p>
    <w:p w14:paraId="4D72767B" w14:textId="77777777" w:rsidR="00263B8D" w:rsidRDefault="00000000">
      <w:pPr>
        <w:numPr>
          <w:ilvl w:val="0"/>
          <w:numId w:val="4"/>
        </w:numPr>
        <w:spacing w:after="0" w:line="240" w:lineRule="auto"/>
        <w:ind w:left="354" w:hanging="283"/>
        <w:jc w:val="both"/>
        <w:rPr>
          <w:rFonts w:ascii="Garamond" w:eastAsia="Garamond" w:hAnsi="Garamond" w:cs="Garamond"/>
          <w:b/>
          <w:color w:val="000000"/>
          <w:sz w:val="24"/>
          <w:szCs w:val="24"/>
        </w:rPr>
      </w:pPr>
      <w:r>
        <w:rPr>
          <w:rFonts w:ascii="Garamond" w:eastAsia="Garamond" w:hAnsi="Garamond" w:cs="Garamond"/>
          <w:b/>
          <w:color w:val="000000"/>
          <w:sz w:val="24"/>
          <w:szCs w:val="24"/>
        </w:rPr>
        <w:t>I</w:t>
      </w:r>
      <w:r>
        <w:rPr>
          <w:rFonts w:ascii="Garamond" w:eastAsia="Garamond" w:hAnsi="Garamond" w:cs="Garamond"/>
          <w:b/>
          <w:sz w:val="24"/>
          <w:szCs w:val="24"/>
        </w:rPr>
        <w:t>NTRODUCTION</w:t>
      </w:r>
    </w:p>
    <w:p w14:paraId="3B383E33" w14:textId="18A8B59E" w:rsidR="00263B8D" w:rsidRDefault="00000000">
      <w:pPr>
        <w:spacing w:after="0" w:line="240" w:lineRule="auto"/>
        <w:ind w:firstLine="720"/>
        <w:jc w:val="both"/>
        <w:rPr>
          <w:rFonts w:ascii="Garamond" w:eastAsia="Garamond" w:hAnsi="Garamond" w:cs="Garamond"/>
          <w:sz w:val="24"/>
          <w:szCs w:val="24"/>
          <w:highlight w:val="white"/>
        </w:rPr>
      </w:pPr>
      <w:r>
        <w:rPr>
          <w:rFonts w:ascii="Garamond" w:eastAsia="Garamond" w:hAnsi="Garamond" w:cs="Garamond"/>
          <w:color w:val="000000"/>
          <w:sz w:val="24"/>
          <w:szCs w:val="24"/>
        </w:rPr>
        <w:t>Journal of Central Bank Law</w:t>
      </w:r>
      <w:r>
        <w:rPr>
          <w:rFonts w:ascii="Garamond" w:eastAsia="Garamond" w:hAnsi="Garamond" w:cs="Garamond"/>
          <w:sz w:val="24"/>
          <w:szCs w:val="24"/>
        </w:rPr>
        <w:t xml:space="preserve"> and</w:t>
      </w:r>
      <w:r>
        <w:rPr>
          <w:rFonts w:ascii="Garamond" w:eastAsia="Garamond" w:hAnsi="Garamond" w:cs="Garamond"/>
          <w:color w:val="000000"/>
          <w:sz w:val="24"/>
          <w:szCs w:val="24"/>
        </w:rPr>
        <w:t xml:space="preserve"> Institutions </w:t>
      </w:r>
      <w:r>
        <w:rPr>
          <w:rFonts w:ascii="Garamond" w:eastAsia="Garamond" w:hAnsi="Garamond" w:cs="Garamond"/>
          <w:color w:val="000000"/>
          <w:sz w:val="24"/>
          <w:szCs w:val="24"/>
          <w:highlight w:val="white"/>
        </w:rPr>
        <w:t>(JC</w:t>
      </w:r>
      <w:r>
        <w:rPr>
          <w:rFonts w:ascii="Garamond" w:eastAsia="Garamond" w:hAnsi="Garamond" w:cs="Garamond"/>
          <w:sz w:val="24"/>
          <w:szCs w:val="24"/>
          <w:highlight w:val="white"/>
        </w:rPr>
        <w:t>LI</w:t>
      </w:r>
      <w:r>
        <w:rPr>
          <w:rFonts w:ascii="Garamond" w:eastAsia="Garamond" w:hAnsi="Garamond" w:cs="Garamond"/>
          <w:color w:val="000000"/>
          <w:sz w:val="24"/>
          <w:szCs w:val="24"/>
          <w:highlight w:val="white"/>
        </w:rPr>
        <w:t xml:space="preserve">) is an initiative of the Bank Indonesia Institutions (BINS). It primarily </w:t>
      </w:r>
      <w:r w:rsidR="008D176F">
        <w:rPr>
          <w:rFonts w:ascii="Garamond" w:eastAsia="Garamond" w:hAnsi="Garamond" w:cs="Garamond"/>
          <w:color w:val="000000"/>
          <w:sz w:val="24"/>
          <w:szCs w:val="24"/>
          <w:highlight w:val="white"/>
        </w:rPr>
        <w:t xml:space="preserve">aims </w:t>
      </w:r>
      <w:r>
        <w:rPr>
          <w:rFonts w:ascii="Garamond" w:eastAsia="Garamond" w:hAnsi="Garamond" w:cs="Garamond"/>
          <w:color w:val="000000"/>
          <w:sz w:val="24"/>
          <w:szCs w:val="24"/>
          <w:highlight w:val="white"/>
        </w:rPr>
        <w:t>to facilitate scholarly and professional discussions o</w:t>
      </w:r>
      <w:r w:rsidR="008D176F">
        <w:rPr>
          <w:rFonts w:ascii="Garamond" w:eastAsia="Garamond" w:hAnsi="Garamond" w:cs="Garamond"/>
          <w:color w:val="000000"/>
          <w:sz w:val="24"/>
          <w:szCs w:val="24"/>
          <w:highlight w:val="white"/>
        </w:rPr>
        <w:t>n</w:t>
      </w:r>
      <w:r>
        <w:rPr>
          <w:rFonts w:ascii="Garamond" w:eastAsia="Garamond" w:hAnsi="Garamond" w:cs="Garamond"/>
          <w:color w:val="000000"/>
          <w:sz w:val="24"/>
          <w:szCs w:val="24"/>
          <w:highlight w:val="white"/>
        </w:rPr>
        <w:t xml:space="preserve"> current developments and Indonesia’s practice </w:t>
      </w:r>
      <w:r w:rsidR="008D176F">
        <w:rPr>
          <w:rFonts w:ascii="Garamond" w:eastAsia="Garamond" w:hAnsi="Garamond" w:cs="Garamond"/>
          <w:color w:val="000000"/>
          <w:sz w:val="24"/>
          <w:szCs w:val="24"/>
          <w:highlight w:val="white"/>
        </w:rPr>
        <w:t>in</w:t>
      </w:r>
      <w:r>
        <w:rPr>
          <w:rFonts w:ascii="Garamond" w:eastAsia="Garamond" w:hAnsi="Garamond" w:cs="Garamond"/>
          <w:color w:val="000000"/>
          <w:sz w:val="24"/>
          <w:szCs w:val="24"/>
          <w:highlight w:val="white"/>
        </w:rPr>
        <w:t xml:space="preserve"> international law. Published exclusively in English, the Journal seeks to expand the boundaries of Indonesian legal discourse </w:t>
      </w:r>
      <w:r w:rsidR="008D176F">
        <w:rPr>
          <w:rFonts w:ascii="Garamond" w:eastAsia="Garamond" w:hAnsi="Garamond" w:cs="Garamond"/>
          <w:color w:val="000000"/>
          <w:sz w:val="24"/>
          <w:szCs w:val="24"/>
          <w:highlight w:val="white"/>
        </w:rPr>
        <w:t>by enabling</w:t>
      </w:r>
      <w:r>
        <w:rPr>
          <w:rFonts w:ascii="Garamond" w:eastAsia="Garamond" w:hAnsi="Garamond" w:cs="Garamond"/>
          <w:color w:val="000000"/>
          <w:sz w:val="24"/>
          <w:szCs w:val="24"/>
          <w:highlight w:val="white"/>
        </w:rPr>
        <w:t xml:space="preserve"> access </w:t>
      </w:r>
      <w:r w:rsidR="008D176F">
        <w:rPr>
          <w:rFonts w:ascii="Garamond" w:eastAsia="Garamond" w:hAnsi="Garamond" w:cs="Garamond"/>
          <w:color w:val="000000"/>
          <w:sz w:val="24"/>
          <w:szCs w:val="24"/>
          <w:highlight w:val="white"/>
        </w:rPr>
        <w:t xml:space="preserve">for </w:t>
      </w:r>
      <w:r>
        <w:rPr>
          <w:rFonts w:ascii="Garamond" w:eastAsia="Garamond" w:hAnsi="Garamond" w:cs="Garamond"/>
          <w:color w:val="000000"/>
          <w:sz w:val="24"/>
          <w:szCs w:val="24"/>
          <w:highlight w:val="white"/>
        </w:rPr>
        <w:t xml:space="preserve">English-speaking contributors and readers </w:t>
      </w:r>
      <w:r w:rsidR="008D176F">
        <w:rPr>
          <w:rFonts w:ascii="Garamond" w:eastAsia="Garamond" w:hAnsi="Garamond" w:cs="Garamond"/>
          <w:color w:val="000000"/>
          <w:sz w:val="24"/>
          <w:szCs w:val="24"/>
          <w:highlight w:val="white"/>
        </w:rPr>
        <w:t>worldwide</w:t>
      </w:r>
      <w:r>
        <w:rPr>
          <w:rFonts w:ascii="Garamond" w:eastAsia="Garamond" w:hAnsi="Garamond" w:cs="Garamond"/>
          <w:color w:val="000000"/>
          <w:sz w:val="24"/>
          <w:szCs w:val="24"/>
          <w:highlight w:val="white"/>
        </w:rPr>
        <w:t>. The Journal, hence, welcomes contributions from international legal scholars and professionals as well as from representatives of courts, executive authorities, and agencies of development cooperation. JC</w:t>
      </w:r>
      <w:r>
        <w:rPr>
          <w:rFonts w:ascii="Garamond" w:eastAsia="Garamond" w:hAnsi="Garamond" w:cs="Garamond"/>
          <w:sz w:val="24"/>
          <w:szCs w:val="24"/>
          <w:highlight w:val="white"/>
        </w:rPr>
        <w:t>LI</w:t>
      </w:r>
      <w:r>
        <w:rPr>
          <w:rFonts w:ascii="Garamond" w:eastAsia="Garamond" w:hAnsi="Garamond" w:cs="Garamond"/>
          <w:color w:val="000000"/>
          <w:sz w:val="24"/>
          <w:szCs w:val="24"/>
          <w:highlight w:val="white"/>
        </w:rPr>
        <w:t xml:space="preserve"> </w:t>
      </w:r>
      <w:r w:rsidR="008D176F">
        <w:rPr>
          <w:rFonts w:ascii="Garamond" w:eastAsia="Garamond" w:hAnsi="Garamond" w:cs="Garamond"/>
          <w:color w:val="000000"/>
          <w:sz w:val="24"/>
          <w:szCs w:val="24"/>
          <w:highlight w:val="white"/>
        </w:rPr>
        <w:t>primarily</w:t>
      </w:r>
      <w:r>
        <w:rPr>
          <w:rFonts w:ascii="Garamond" w:eastAsia="Garamond" w:hAnsi="Garamond" w:cs="Garamond"/>
          <w:color w:val="000000"/>
          <w:sz w:val="24"/>
          <w:szCs w:val="24"/>
          <w:highlight w:val="white"/>
        </w:rPr>
        <w:t xml:space="preserve"> co</w:t>
      </w:r>
      <w:r w:rsidR="008D176F">
        <w:rPr>
          <w:rFonts w:ascii="Garamond" w:eastAsia="Garamond" w:hAnsi="Garamond" w:cs="Garamond"/>
          <w:color w:val="000000"/>
          <w:sz w:val="24"/>
          <w:szCs w:val="24"/>
          <w:highlight w:val="white"/>
        </w:rPr>
        <w:t>vers</w:t>
      </w:r>
      <w:r>
        <w:rPr>
          <w:rFonts w:ascii="Garamond" w:eastAsia="Garamond" w:hAnsi="Garamond" w:cs="Garamond"/>
          <w:color w:val="000000"/>
          <w:sz w:val="24"/>
          <w:szCs w:val="24"/>
          <w:highlight w:val="white"/>
        </w:rPr>
        <w:t xml:space="preserve"> Indonesia’s practice </w:t>
      </w:r>
      <w:r w:rsidR="008D176F">
        <w:rPr>
          <w:rFonts w:ascii="Garamond" w:eastAsia="Garamond" w:hAnsi="Garamond" w:cs="Garamond"/>
          <w:color w:val="000000"/>
          <w:sz w:val="24"/>
          <w:szCs w:val="24"/>
          <w:highlight w:val="white"/>
        </w:rPr>
        <w:t>in</w:t>
      </w:r>
      <w:r>
        <w:rPr>
          <w:rFonts w:ascii="Garamond" w:eastAsia="Garamond" w:hAnsi="Garamond" w:cs="Garamond"/>
          <w:color w:val="000000"/>
          <w:sz w:val="24"/>
          <w:szCs w:val="24"/>
          <w:highlight w:val="white"/>
        </w:rPr>
        <w:t xml:space="preserve"> central </w:t>
      </w:r>
      <w:r>
        <w:rPr>
          <w:rFonts w:ascii="Garamond" w:eastAsia="Garamond" w:hAnsi="Garamond" w:cs="Garamond"/>
          <w:sz w:val="24"/>
          <w:szCs w:val="24"/>
          <w:highlight w:val="white"/>
        </w:rPr>
        <w:t>bank law and</w:t>
      </w:r>
      <w:r>
        <w:rPr>
          <w:rFonts w:ascii="Garamond" w:eastAsia="Garamond" w:hAnsi="Garamond" w:cs="Garamond"/>
          <w:color w:val="000000"/>
          <w:sz w:val="24"/>
          <w:szCs w:val="24"/>
          <w:highlight w:val="white"/>
        </w:rPr>
        <w:t xml:space="preserve"> institutions. </w:t>
      </w:r>
    </w:p>
    <w:p w14:paraId="77B70B7B" w14:textId="0C71FB23" w:rsidR="00263B8D" w:rsidRDefault="00000000">
      <w:pPr>
        <w:spacing w:after="0" w:line="240" w:lineRule="auto"/>
        <w:ind w:firstLine="720"/>
        <w:jc w:val="both"/>
        <w:rPr>
          <w:rFonts w:ascii="Garamond" w:eastAsia="Garamond" w:hAnsi="Garamond" w:cs="Garamond"/>
          <w:sz w:val="24"/>
          <w:szCs w:val="24"/>
          <w:highlight w:val="white"/>
        </w:rPr>
      </w:pPr>
      <w:r>
        <w:rPr>
          <w:rFonts w:ascii="Garamond" w:eastAsia="Garamond" w:hAnsi="Garamond" w:cs="Garamond"/>
          <w:sz w:val="24"/>
          <w:szCs w:val="24"/>
          <w:highlight w:val="white"/>
        </w:rPr>
        <w:t xml:space="preserve">The introduction </w:t>
      </w:r>
      <w:r w:rsidR="008D176F">
        <w:rPr>
          <w:rFonts w:ascii="Garamond" w:eastAsia="Garamond" w:hAnsi="Garamond" w:cs="Garamond"/>
          <w:sz w:val="24"/>
          <w:szCs w:val="24"/>
          <w:highlight w:val="white"/>
        </w:rPr>
        <w:t>provides</w:t>
      </w:r>
      <w:r>
        <w:rPr>
          <w:rFonts w:ascii="Garamond" w:eastAsia="Garamond" w:hAnsi="Garamond" w:cs="Garamond"/>
          <w:sz w:val="24"/>
          <w:szCs w:val="24"/>
          <w:highlight w:val="white"/>
        </w:rPr>
        <w:t xml:space="preserve"> the reader with a clear idea of what the article will cover. It should provide background information on the specific problem being addressed. It is followed by the main position or argument as a response to the essay question. The author’s position can be a single</w:t>
      </w:r>
      <w:r w:rsidR="008D176F">
        <w:rPr>
          <w:rFonts w:ascii="Garamond" w:eastAsia="Garamond" w:hAnsi="Garamond" w:cs="Garamond"/>
          <w:sz w:val="24"/>
          <w:szCs w:val="24"/>
          <w:highlight w:val="white"/>
        </w:rPr>
        <w:t>-</w:t>
      </w:r>
      <w:r>
        <w:rPr>
          <w:rFonts w:ascii="Garamond" w:eastAsia="Garamond" w:hAnsi="Garamond" w:cs="Garamond"/>
          <w:sz w:val="24"/>
          <w:szCs w:val="24"/>
          <w:highlight w:val="white"/>
        </w:rPr>
        <w:t>sentence answer to the essay question but will often include two to three sentences explaining the answer in more detail.</w:t>
      </w:r>
      <w:r w:rsidR="008D176F">
        <w:rPr>
          <w:rFonts w:ascii="Garamond" w:eastAsia="Garamond" w:hAnsi="Garamond" w:cs="Garamond"/>
          <w:sz w:val="24"/>
          <w:szCs w:val="24"/>
          <w:highlight w:val="white"/>
        </w:rPr>
        <w:t xml:space="preserve"> </w:t>
      </w:r>
      <w:bookmarkStart w:id="0" w:name="OLE_LINK15"/>
      <w:r w:rsidR="008D176F">
        <w:rPr>
          <w:rFonts w:ascii="Garamond" w:eastAsia="Garamond" w:hAnsi="Garamond" w:cs="Garamond"/>
          <w:sz w:val="24"/>
          <w:szCs w:val="24"/>
          <w:highlight w:val="white"/>
        </w:rPr>
        <w:t>The length of the introduction is encouraged not to exceed approximately 10% of the total length of the paper.</w:t>
      </w:r>
      <w:bookmarkEnd w:id="0"/>
    </w:p>
    <w:p w14:paraId="44406F89" w14:textId="7B0252E9" w:rsidR="00263B8D" w:rsidRDefault="00000000">
      <w:pPr>
        <w:spacing w:after="0" w:line="240" w:lineRule="auto"/>
        <w:ind w:firstLine="720"/>
        <w:jc w:val="both"/>
        <w:rPr>
          <w:rFonts w:ascii="Garamond" w:eastAsia="Garamond" w:hAnsi="Garamond" w:cs="Garamond"/>
          <w:sz w:val="24"/>
          <w:szCs w:val="24"/>
          <w:highlight w:val="white"/>
        </w:rPr>
      </w:pPr>
      <w:r>
        <w:rPr>
          <w:rFonts w:ascii="Garamond" w:eastAsia="Garamond" w:hAnsi="Garamond" w:cs="Garamond"/>
          <w:sz w:val="24"/>
          <w:szCs w:val="24"/>
          <w:highlight w:val="white"/>
        </w:rPr>
        <w:t xml:space="preserve">The introduction also briefly reviews any other solutions or approaches that have been tried in the past. Please </w:t>
      </w:r>
      <w:r w:rsidR="008D176F">
        <w:rPr>
          <w:rFonts w:ascii="Garamond" w:eastAsia="Garamond" w:hAnsi="Garamond" w:cs="Garamond"/>
          <w:sz w:val="24"/>
          <w:szCs w:val="24"/>
          <w:highlight w:val="white"/>
        </w:rPr>
        <w:t>note</w:t>
      </w:r>
      <w:r>
        <w:rPr>
          <w:rFonts w:ascii="Garamond" w:eastAsia="Garamond" w:hAnsi="Garamond" w:cs="Garamond"/>
          <w:sz w:val="24"/>
          <w:szCs w:val="24"/>
          <w:highlight w:val="white"/>
        </w:rPr>
        <w:t xml:space="preserve"> that a thesis or a dissertation usually has a separate chapter titled ‘</w:t>
      </w:r>
      <w:r w:rsidR="008D176F">
        <w:rPr>
          <w:rFonts w:ascii="Garamond" w:eastAsia="Garamond" w:hAnsi="Garamond" w:cs="Garamond"/>
          <w:sz w:val="24"/>
          <w:szCs w:val="24"/>
          <w:highlight w:val="white"/>
        </w:rPr>
        <w:t xml:space="preserve">Literature </w:t>
      </w:r>
      <w:r>
        <w:rPr>
          <w:rFonts w:ascii="Garamond" w:eastAsia="Garamond" w:hAnsi="Garamond" w:cs="Garamond"/>
          <w:sz w:val="24"/>
          <w:szCs w:val="24"/>
          <w:highlight w:val="white"/>
        </w:rPr>
        <w:t xml:space="preserve">Review,’ but </w:t>
      </w:r>
      <w:r w:rsidR="008D176F">
        <w:rPr>
          <w:rFonts w:ascii="Garamond" w:eastAsia="Garamond" w:hAnsi="Garamond" w:cs="Garamond"/>
          <w:sz w:val="24"/>
          <w:szCs w:val="24"/>
          <w:highlight w:val="white"/>
        </w:rPr>
        <w:t>a JCLI</w:t>
      </w:r>
      <w:r>
        <w:rPr>
          <w:rFonts w:ascii="Garamond" w:eastAsia="Garamond" w:hAnsi="Garamond" w:cs="Garamond"/>
          <w:sz w:val="24"/>
          <w:szCs w:val="24"/>
          <w:highlight w:val="white"/>
        </w:rPr>
        <w:t xml:space="preserve"> paper has no such section; instead, the introduction includes a </w:t>
      </w:r>
      <w:r w:rsidR="008D176F">
        <w:rPr>
          <w:rFonts w:ascii="Garamond" w:eastAsia="Garamond" w:hAnsi="Garamond" w:cs="Garamond"/>
          <w:sz w:val="24"/>
          <w:szCs w:val="24"/>
          <w:highlight w:val="white"/>
        </w:rPr>
        <w:t>brief</w:t>
      </w:r>
      <w:r>
        <w:rPr>
          <w:rFonts w:ascii="Garamond" w:eastAsia="Garamond" w:hAnsi="Garamond" w:cs="Garamond"/>
          <w:sz w:val="24"/>
          <w:szCs w:val="24"/>
          <w:highlight w:val="white"/>
        </w:rPr>
        <w:t xml:space="preserve"> </w:t>
      </w:r>
      <w:r w:rsidR="005F40FA">
        <w:rPr>
          <w:rFonts w:ascii="Garamond" w:eastAsia="Garamond" w:hAnsi="Garamond" w:cs="Garamond"/>
          <w:sz w:val="24"/>
          <w:szCs w:val="24"/>
          <w:highlight w:val="white"/>
        </w:rPr>
        <w:t xml:space="preserve">literature </w:t>
      </w:r>
      <w:r w:rsidR="008D176F">
        <w:rPr>
          <w:rFonts w:ascii="Garamond" w:eastAsia="Garamond" w:hAnsi="Garamond" w:cs="Garamond"/>
          <w:sz w:val="24"/>
          <w:szCs w:val="24"/>
          <w:highlight w:val="white"/>
        </w:rPr>
        <w:t>review</w:t>
      </w:r>
      <w:r>
        <w:rPr>
          <w:rFonts w:ascii="Garamond" w:eastAsia="Garamond" w:hAnsi="Garamond" w:cs="Garamond"/>
          <w:sz w:val="24"/>
          <w:szCs w:val="24"/>
          <w:highlight w:val="white"/>
        </w:rPr>
        <w:t>. Such a review aims to identify any gap</w:t>
      </w:r>
      <w:r w:rsidR="008D176F">
        <w:rPr>
          <w:rFonts w:ascii="Garamond" w:eastAsia="Garamond" w:hAnsi="Garamond" w:cs="Garamond"/>
          <w:sz w:val="24"/>
          <w:szCs w:val="24"/>
          <w:highlight w:val="white"/>
        </w:rPr>
        <w:t>s</w:t>
      </w:r>
      <w:r>
        <w:rPr>
          <w:rFonts w:ascii="Garamond" w:eastAsia="Garamond" w:hAnsi="Garamond" w:cs="Garamond"/>
          <w:sz w:val="24"/>
          <w:szCs w:val="24"/>
          <w:highlight w:val="white"/>
        </w:rPr>
        <w:t xml:space="preserve"> in the research </w:t>
      </w:r>
      <w:r w:rsidR="008D176F">
        <w:rPr>
          <w:rFonts w:ascii="Garamond" w:eastAsia="Garamond" w:hAnsi="Garamond" w:cs="Garamond"/>
          <w:sz w:val="24"/>
          <w:szCs w:val="24"/>
          <w:highlight w:val="white"/>
        </w:rPr>
        <w:t>that</w:t>
      </w:r>
      <w:r>
        <w:rPr>
          <w:rFonts w:ascii="Garamond" w:eastAsia="Garamond" w:hAnsi="Garamond" w:cs="Garamond"/>
          <w:sz w:val="24"/>
          <w:szCs w:val="24"/>
          <w:highlight w:val="white"/>
        </w:rPr>
        <w:t xml:space="preserve"> the author’s paper will fill as a novelty or contribution to the literature. Novelty and recency of issues, however, </w:t>
      </w:r>
      <w:r w:rsidR="008D176F">
        <w:rPr>
          <w:rFonts w:ascii="Garamond" w:eastAsia="Garamond" w:hAnsi="Garamond" w:cs="Garamond"/>
          <w:sz w:val="24"/>
          <w:szCs w:val="24"/>
          <w:highlight w:val="white"/>
        </w:rPr>
        <w:t>are</w:t>
      </w:r>
      <w:r>
        <w:rPr>
          <w:rFonts w:ascii="Garamond" w:eastAsia="Garamond" w:hAnsi="Garamond" w:cs="Garamond"/>
          <w:sz w:val="24"/>
          <w:szCs w:val="24"/>
          <w:highlight w:val="white"/>
        </w:rPr>
        <w:t xml:space="preserve"> a priority in publishing. </w:t>
      </w:r>
      <w:r w:rsidR="008D176F">
        <w:rPr>
          <w:rFonts w:ascii="Garamond" w:eastAsia="Garamond" w:hAnsi="Garamond" w:cs="Garamond"/>
          <w:sz w:val="24"/>
          <w:szCs w:val="24"/>
          <w:highlight w:val="white"/>
        </w:rPr>
        <w:t xml:space="preserve">Any specific research method employed by the author(s) should also be included in this part. </w:t>
      </w:r>
      <w:r w:rsidR="005F40FA">
        <w:rPr>
          <w:rFonts w:ascii="Garamond" w:eastAsia="Garamond" w:hAnsi="Garamond" w:cs="Garamond"/>
          <w:sz w:val="24"/>
          <w:szCs w:val="24"/>
          <w:highlight w:val="white"/>
        </w:rPr>
        <w:t xml:space="preserve">No need to have a separate section in discussing the method. </w:t>
      </w:r>
      <w:proofErr w:type="spellStart"/>
      <w:r>
        <w:rPr>
          <w:rFonts w:ascii="Garamond" w:eastAsia="Garamond" w:hAnsi="Garamond" w:cs="Garamond"/>
          <w:sz w:val="24"/>
          <w:szCs w:val="24"/>
          <w:highlight w:val="white"/>
        </w:rPr>
        <w:t>The</w:t>
      </w:r>
      <w:proofErr w:type="spellEnd"/>
      <w:r>
        <w:rPr>
          <w:rFonts w:ascii="Garamond" w:eastAsia="Garamond" w:hAnsi="Garamond" w:cs="Garamond"/>
          <w:sz w:val="24"/>
          <w:szCs w:val="24"/>
          <w:highlight w:val="white"/>
        </w:rPr>
        <w:t xml:space="preserve"> </w:t>
      </w:r>
      <w:r w:rsidR="008D176F">
        <w:rPr>
          <w:rFonts w:ascii="Garamond" w:eastAsia="Garamond" w:hAnsi="Garamond" w:cs="Garamond"/>
          <w:sz w:val="24"/>
          <w:szCs w:val="24"/>
          <w:highlight w:val="white"/>
        </w:rPr>
        <w:t>Journal’s</w:t>
      </w:r>
      <w:r>
        <w:rPr>
          <w:rFonts w:ascii="Garamond" w:eastAsia="Garamond" w:hAnsi="Garamond" w:cs="Garamond"/>
          <w:sz w:val="24"/>
          <w:szCs w:val="24"/>
          <w:highlight w:val="white"/>
        </w:rPr>
        <w:t xml:space="preserve"> content </w:t>
      </w:r>
      <w:r w:rsidR="008D176F">
        <w:rPr>
          <w:rFonts w:ascii="Garamond" w:eastAsia="Garamond" w:hAnsi="Garamond" w:cs="Garamond"/>
          <w:sz w:val="24"/>
          <w:szCs w:val="24"/>
          <w:highlight w:val="white"/>
        </w:rPr>
        <w:t>range</w:t>
      </w:r>
      <w:r>
        <w:rPr>
          <w:rFonts w:ascii="Garamond" w:eastAsia="Garamond" w:hAnsi="Garamond" w:cs="Garamond"/>
          <w:sz w:val="24"/>
          <w:szCs w:val="24"/>
          <w:highlight w:val="white"/>
        </w:rPr>
        <w:t xml:space="preserve"> spans established legal scholarship and </w:t>
      </w:r>
      <w:r w:rsidR="008D176F">
        <w:rPr>
          <w:rFonts w:ascii="Garamond" w:eastAsia="Garamond" w:hAnsi="Garamond" w:cs="Garamond"/>
          <w:sz w:val="24"/>
          <w:szCs w:val="24"/>
          <w:highlight w:val="white"/>
        </w:rPr>
        <w:t xml:space="preserve">the </w:t>
      </w:r>
      <w:r>
        <w:rPr>
          <w:rFonts w:ascii="Garamond" w:eastAsia="Garamond" w:hAnsi="Garamond" w:cs="Garamond"/>
          <w:sz w:val="24"/>
          <w:szCs w:val="24"/>
          <w:highlight w:val="white"/>
        </w:rPr>
        <w:t>fields of central bank</w:t>
      </w:r>
      <w:r w:rsidR="008D176F">
        <w:rPr>
          <w:rFonts w:ascii="Garamond" w:eastAsia="Garamond" w:hAnsi="Garamond" w:cs="Garamond"/>
          <w:sz w:val="24"/>
          <w:szCs w:val="24"/>
          <w:highlight w:val="white"/>
        </w:rPr>
        <w:t>ing</w:t>
      </w:r>
      <w:r>
        <w:rPr>
          <w:rFonts w:ascii="Garamond" w:eastAsia="Garamond" w:hAnsi="Garamond" w:cs="Garamond"/>
          <w:sz w:val="24"/>
          <w:szCs w:val="24"/>
          <w:highlight w:val="white"/>
        </w:rPr>
        <w:t xml:space="preserve"> and law. Finally, the introduction provides an overview of the author</w:t>
      </w:r>
      <w:r w:rsidR="008D176F">
        <w:rPr>
          <w:rFonts w:ascii="Garamond" w:eastAsia="Garamond" w:hAnsi="Garamond" w:cs="Garamond"/>
          <w:sz w:val="24"/>
          <w:szCs w:val="24"/>
          <w:highlight w:val="white"/>
        </w:rPr>
        <w:t>’s</w:t>
      </w:r>
      <w:r>
        <w:rPr>
          <w:rFonts w:ascii="Garamond" w:eastAsia="Garamond" w:hAnsi="Garamond" w:cs="Garamond"/>
          <w:sz w:val="24"/>
          <w:szCs w:val="24"/>
          <w:highlight w:val="white"/>
        </w:rPr>
        <w:t xml:space="preserve"> </w:t>
      </w:r>
      <w:r w:rsidR="008D176F">
        <w:rPr>
          <w:rFonts w:ascii="Garamond" w:eastAsia="Garamond" w:hAnsi="Garamond" w:cs="Garamond"/>
          <w:sz w:val="24"/>
          <w:szCs w:val="24"/>
          <w:highlight w:val="white"/>
        </w:rPr>
        <w:t>approach</w:t>
      </w:r>
      <w:r>
        <w:rPr>
          <w:rFonts w:ascii="Garamond" w:eastAsia="Garamond" w:hAnsi="Garamond" w:cs="Garamond"/>
          <w:sz w:val="24"/>
          <w:szCs w:val="24"/>
          <w:highlight w:val="white"/>
        </w:rPr>
        <w:t xml:space="preserve"> </w:t>
      </w:r>
      <w:r w:rsidR="008D176F">
        <w:rPr>
          <w:rFonts w:ascii="Garamond" w:eastAsia="Garamond" w:hAnsi="Garamond" w:cs="Garamond"/>
          <w:sz w:val="24"/>
          <w:szCs w:val="24"/>
          <w:highlight w:val="white"/>
        </w:rPr>
        <w:t>to</w:t>
      </w:r>
      <w:r>
        <w:rPr>
          <w:rFonts w:ascii="Garamond" w:eastAsia="Garamond" w:hAnsi="Garamond" w:cs="Garamond"/>
          <w:sz w:val="24"/>
          <w:szCs w:val="24"/>
          <w:highlight w:val="white"/>
        </w:rPr>
        <w:t xml:space="preserve"> the essay. This usually involves providing an outline of the most important points the author </w:t>
      </w:r>
      <w:r w:rsidR="008D176F">
        <w:rPr>
          <w:rFonts w:ascii="Garamond" w:eastAsia="Garamond" w:hAnsi="Garamond" w:cs="Garamond"/>
          <w:sz w:val="24"/>
          <w:szCs w:val="24"/>
          <w:highlight w:val="white"/>
        </w:rPr>
        <w:t>will</w:t>
      </w:r>
      <w:r>
        <w:rPr>
          <w:rFonts w:ascii="Garamond" w:eastAsia="Garamond" w:hAnsi="Garamond" w:cs="Garamond"/>
          <w:sz w:val="24"/>
          <w:szCs w:val="24"/>
          <w:highlight w:val="white"/>
        </w:rPr>
        <w:t xml:space="preserve"> make.</w:t>
      </w:r>
    </w:p>
    <w:p w14:paraId="7703AC5D" w14:textId="77777777" w:rsidR="00263B8D" w:rsidRDefault="00263B8D">
      <w:pPr>
        <w:spacing w:after="0" w:line="240" w:lineRule="auto"/>
        <w:ind w:firstLine="720"/>
        <w:jc w:val="both"/>
        <w:rPr>
          <w:rFonts w:ascii="Garamond" w:eastAsia="Garamond" w:hAnsi="Garamond" w:cs="Garamond"/>
          <w:sz w:val="24"/>
          <w:szCs w:val="24"/>
          <w:highlight w:val="white"/>
        </w:rPr>
      </w:pPr>
    </w:p>
    <w:p w14:paraId="62F86491" w14:textId="77777777" w:rsidR="00263B8D" w:rsidRDefault="00263B8D">
      <w:pPr>
        <w:spacing w:after="0" w:line="240" w:lineRule="auto"/>
        <w:ind w:firstLine="720"/>
        <w:jc w:val="both"/>
        <w:rPr>
          <w:rFonts w:ascii="Garamond" w:eastAsia="Garamond" w:hAnsi="Garamond" w:cs="Garamond"/>
          <w:sz w:val="24"/>
          <w:szCs w:val="24"/>
          <w:highlight w:val="white"/>
        </w:rPr>
      </w:pPr>
    </w:p>
    <w:p w14:paraId="6E370762" w14:textId="6C3A835A" w:rsidR="00263B8D" w:rsidRDefault="00000000">
      <w:pPr>
        <w:numPr>
          <w:ilvl w:val="0"/>
          <w:numId w:val="4"/>
        </w:numPr>
        <w:spacing w:after="0" w:line="240" w:lineRule="auto"/>
        <w:ind w:left="354" w:hanging="354"/>
        <w:jc w:val="both"/>
        <w:rPr>
          <w:rFonts w:ascii="Garamond" w:eastAsia="Garamond" w:hAnsi="Garamond" w:cs="Garamond"/>
          <w:b/>
          <w:color w:val="000000"/>
          <w:sz w:val="24"/>
          <w:szCs w:val="24"/>
        </w:rPr>
      </w:pPr>
      <w:r>
        <w:rPr>
          <w:rFonts w:ascii="Garamond" w:eastAsia="Garamond" w:hAnsi="Garamond" w:cs="Garamond"/>
          <w:b/>
          <w:sz w:val="24"/>
          <w:szCs w:val="24"/>
        </w:rPr>
        <w:t>HEADING LEVEL 1</w:t>
      </w:r>
      <w:r w:rsidR="008D176F">
        <w:rPr>
          <w:rFonts w:ascii="Garamond" w:eastAsia="Garamond" w:hAnsi="Garamond" w:cs="Garamond"/>
          <w:b/>
          <w:sz w:val="24"/>
          <w:szCs w:val="24"/>
        </w:rPr>
        <w:t xml:space="preserve"> (FOR </w:t>
      </w:r>
      <w:r w:rsidR="008D176F">
        <w:rPr>
          <w:rFonts w:ascii="Garamond" w:eastAsia="Garamond" w:hAnsi="Garamond" w:cs="Garamond"/>
          <w:b/>
          <w:color w:val="000000"/>
          <w:sz w:val="24"/>
          <w:szCs w:val="24"/>
        </w:rPr>
        <w:t>SUBSTANTIVE DISCUSSION</w:t>
      </w:r>
      <w:r w:rsidR="008D176F">
        <w:rPr>
          <w:rFonts w:ascii="Garamond" w:eastAsia="Garamond" w:hAnsi="Garamond" w:cs="Garamond"/>
          <w:b/>
          <w:color w:val="000000"/>
          <w:sz w:val="24"/>
          <w:szCs w:val="24"/>
        </w:rPr>
        <w:t>)</w:t>
      </w:r>
    </w:p>
    <w:p w14:paraId="50232C58" w14:textId="5C0C713C" w:rsidR="00263B8D" w:rsidRDefault="00000000">
      <w:pPr>
        <w:widowControl w:val="0"/>
        <w:spacing w:after="0" w:line="240" w:lineRule="auto"/>
        <w:ind w:right="20" w:firstLine="720"/>
        <w:jc w:val="both"/>
        <w:rPr>
          <w:rFonts w:ascii="Garamond" w:eastAsia="Garamond" w:hAnsi="Garamond" w:cs="Garamond"/>
          <w:sz w:val="24"/>
          <w:szCs w:val="24"/>
        </w:rPr>
      </w:pPr>
      <w:r>
        <w:rPr>
          <w:rFonts w:ascii="Garamond" w:eastAsia="Garamond" w:hAnsi="Garamond" w:cs="Garamond"/>
          <w:sz w:val="24"/>
          <w:szCs w:val="24"/>
        </w:rPr>
        <w:t>Manuscripts should be written in English</w:t>
      </w:r>
      <w:r w:rsidR="008D176F">
        <w:rPr>
          <w:rFonts w:ascii="Garamond" w:eastAsia="Garamond" w:hAnsi="Garamond" w:cs="Garamond"/>
          <w:sz w:val="24"/>
          <w:szCs w:val="24"/>
        </w:rPr>
        <w:t xml:space="preserve"> (UK)</w:t>
      </w:r>
      <w:r>
        <w:rPr>
          <w:rFonts w:ascii="Garamond" w:eastAsia="Garamond" w:hAnsi="Garamond" w:cs="Garamond"/>
          <w:sz w:val="24"/>
          <w:szCs w:val="24"/>
        </w:rPr>
        <w:t xml:space="preserve">, not have been published already, nor </w:t>
      </w:r>
      <w:r w:rsidR="008D176F">
        <w:rPr>
          <w:rFonts w:ascii="Garamond" w:eastAsia="Garamond" w:hAnsi="Garamond" w:cs="Garamond"/>
          <w:sz w:val="24"/>
          <w:szCs w:val="24"/>
        </w:rPr>
        <w:t xml:space="preserve">be </w:t>
      </w:r>
      <w:r>
        <w:rPr>
          <w:rFonts w:ascii="Garamond" w:eastAsia="Garamond" w:hAnsi="Garamond" w:cs="Garamond"/>
          <w:sz w:val="24"/>
          <w:szCs w:val="24"/>
        </w:rPr>
        <w:t xml:space="preserve">under consideration elsewhere. The manuscript submitted in Bahasa Indonesia will be </w:t>
      </w:r>
      <w:r w:rsidR="008D176F">
        <w:rPr>
          <w:rFonts w:ascii="Garamond" w:eastAsia="Garamond" w:hAnsi="Garamond" w:cs="Garamond"/>
          <w:sz w:val="24"/>
          <w:szCs w:val="24"/>
        </w:rPr>
        <w:t>considered</w:t>
      </w:r>
      <w:r>
        <w:rPr>
          <w:rFonts w:ascii="Garamond" w:eastAsia="Garamond" w:hAnsi="Garamond" w:cs="Garamond"/>
          <w:sz w:val="24"/>
          <w:szCs w:val="24"/>
        </w:rPr>
        <w:t xml:space="preserve"> </w:t>
      </w:r>
      <w:r>
        <w:rPr>
          <w:rFonts w:ascii="Garamond" w:eastAsia="Garamond" w:hAnsi="Garamond" w:cs="Garamond"/>
          <w:sz w:val="24"/>
          <w:szCs w:val="24"/>
        </w:rPr>
        <w:lastRenderedPageBreak/>
        <w:t xml:space="preserve">for translation assistance based on the quality of the topic/substance. Any manuscripts containing material subject to copyright restrictions other than those owned or controlled by the contributor must be accompanied by appropriate permissions from the relevant copyright holder(s). Each manuscript should be accompanied by the following information: the title of the manuscript, the author’s name, affiliation and an e-mail address. Manuscripts should be between 7.000 and 10.000 words, including text and footnotes. </w:t>
      </w:r>
    </w:p>
    <w:p w14:paraId="7068FB9D" w14:textId="46065DCA" w:rsidR="00263B8D" w:rsidRDefault="00000000">
      <w:pPr>
        <w:widowControl w:val="0"/>
        <w:spacing w:after="0" w:line="240" w:lineRule="auto"/>
        <w:ind w:firstLine="720"/>
        <w:jc w:val="both"/>
        <w:rPr>
          <w:rFonts w:ascii="Garamond" w:eastAsia="Garamond" w:hAnsi="Garamond" w:cs="Garamond"/>
          <w:sz w:val="24"/>
          <w:szCs w:val="24"/>
        </w:rPr>
      </w:pPr>
      <w:r>
        <w:rPr>
          <w:rFonts w:ascii="Garamond" w:eastAsia="Garamond" w:hAnsi="Garamond" w:cs="Garamond"/>
          <w:sz w:val="24"/>
          <w:szCs w:val="24"/>
        </w:rPr>
        <w:t>The body may consist of several paragraphs</w:t>
      </w:r>
      <w:r w:rsidR="008D176F">
        <w:rPr>
          <w:rFonts w:ascii="Garamond" w:eastAsia="Garamond" w:hAnsi="Garamond" w:cs="Garamond"/>
          <w:sz w:val="24"/>
          <w:szCs w:val="24"/>
        </w:rPr>
        <w:t>,</w:t>
      </w:r>
      <w:r>
        <w:rPr>
          <w:rFonts w:ascii="Garamond" w:eastAsia="Garamond" w:hAnsi="Garamond" w:cs="Garamond"/>
          <w:sz w:val="24"/>
          <w:szCs w:val="24"/>
        </w:rPr>
        <w:t xml:space="preserve"> </w:t>
      </w:r>
      <w:r w:rsidR="008D176F">
        <w:rPr>
          <w:rFonts w:ascii="Garamond" w:eastAsia="Garamond" w:hAnsi="Garamond" w:cs="Garamond"/>
          <w:sz w:val="24"/>
          <w:szCs w:val="24"/>
        </w:rPr>
        <w:t>depen</w:t>
      </w:r>
      <w:r>
        <w:rPr>
          <w:rFonts w:ascii="Garamond" w:eastAsia="Garamond" w:hAnsi="Garamond" w:cs="Garamond"/>
          <w:sz w:val="24"/>
          <w:szCs w:val="24"/>
        </w:rPr>
        <w:t xml:space="preserve">ding </w:t>
      </w:r>
      <w:r w:rsidR="008D176F">
        <w:rPr>
          <w:rFonts w:ascii="Garamond" w:eastAsia="Garamond" w:hAnsi="Garamond" w:cs="Garamond"/>
          <w:sz w:val="24"/>
          <w:szCs w:val="24"/>
        </w:rPr>
        <w:t>on</w:t>
      </w:r>
      <w:r>
        <w:rPr>
          <w:rFonts w:ascii="Garamond" w:eastAsia="Garamond" w:hAnsi="Garamond" w:cs="Garamond"/>
          <w:sz w:val="24"/>
          <w:szCs w:val="24"/>
        </w:rPr>
        <w:t xml:space="preserve"> the discussion of the articles the author wishes to </w:t>
      </w:r>
      <w:r w:rsidR="008D176F">
        <w:rPr>
          <w:rFonts w:ascii="Garamond" w:eastAsia="Garamond" w:hAnsi="Garamond" w:cs="Garamond"/>
          <w:sz w:val="24"/>
          <w:szCs w:val="24"/>
        </w:rPr>
        <w:t>present</w:t>
      </w:r>
      <w:r>
        <w:rPr>
          <w:rFonts w:ascii="Garamond" w:eastAsia="Garamond" w:hAnsi="Garamond" w:cs="Garamond"/>
          <w:sz w:val="24"/>
          <w:szCs w:val="24"/>
        </w:rPr>
        <w:t>. The body should be written in Garamond, font</w:t>
      </w:r>
      <w:r w:rsidR="008D176F">
        <w:rPr>
          <w:rFonts w:ascii="Garamond" w:eastAsia="Garamond" w:hAnsi="Garamond" w:cs="Garamond"/>
          <w:sz w:val="24"/>
          <w:szCs w:val="24"/>
        </w:rPr>
        <w:t xml:space="preserve"> </w:t>
      </w:r>
      <w:r>
        <w:rPr>
          <w:rFonts w:ascii="Garamond" w:eastAsia="Garamond" w:hAnsi="Garamond" w:cs="Garamond"/>
          <w:sz w:val="24"/>
          <w:szCs w:val="24"/>
        </w:rPr>
        <w:t>size: 12, and single line spacing.</w:t>
      </w:r>
    </w:p>
    <w:p w14:paraId="0689B977" w14:textId="77777777" w:rsidR="00263B8D" w:rsidRDefault="00263B8D">
      <w:pPr>
        <w:widowControl w:val="0"/>
        <w:spacing w:after="0" w:line="240" w:lineRule="auto"/>
        <w:ind w:right="20" w:firstLine="720"/>
        <w:jc w:val="both"/>
        <w:rPr>
          <w:rFonts w:ascii="Garamond" w:eastAsia="Garamond" w:hAnsi="Garamond" w:cs="Garamond"/>
          <w:sz w:val="24"/>
          <w:szCs w:val="24"/>
        </w:rPr>
      </w:pPr>
    </w:p>
    <w:p w14:paraId="6C9CAE6B" w14:textId="77777777" w:rsidR="00263B8D" w:rsidRDefault="00000000">
      <w:pPr>
        <w:spacing w:after="0" w:line="240" w:lineRule="auto"/>
        <w:jc w:val="both"/>
        <w:rPr>
          <w:rFonts w:ascii="Garamond" w:eastAsia="Garamond" w:hAnsi="Garamond" w:cs="Garamond"/>
          <w:b/>
          <w:sz w:val="24"/>
          <w:szCs w:val="24"/>
        </w:rPr>
      </w:pPr>
      <w:r>
        <w:rPr>
          <w:rFonts w:ascii="Garamond" w:eastAsia="Garamond" w:hAnsi="Garamond" w:cs="Garamond"/>
          <w:b/>
          <w:sz w:val="24"/>
          <w:szCs w:val="24"/>
        </w:rPr>
        <w:t>II.A. Sub-heading Level 2</w:t>
      </w:r>
    </w:p>
    <w:p w14:paraId="51DC34CF" w14:textId="27E1C2EB" w:rsidR="00263B8D" w:rsidRDefault="00000000">
      <w:pPr>
        <w:widowControl w:val="0"/>
        <w:spacing w:after="0" w:line="240" w:lineRule="auto"/>
        <w:ind w:right="20" w:firstLine="720"/>
        <w:jc w:val="both"/>
        <w:rPr>
          <w:rFonts w:ascii="Garamond" w:eastAsia="Garamond" w:hAnsi="Garamond" w:cs="Garamond"/>
          <w:sz w:val="24"/>
          <w:szCs w:val="24"/>
        </w:rPr>
      </w:pPr>
      <w:r>
        <w:rPr>
          <w:rFonts w:ascii="Garamond" w:eastAsia="Garamond" w:hAnsi="Garamond" w:cs="Garamond"/>
          <w:sz w:val="24"/>
          <w:szCs w:val="24"/>
        </w:rPr>
        <w:t>The first line of each paragraph should be indented, with a single space between paragraphs. For direct quotation</w:t>
      </w:r>
      <w:r w:rsidR="008D176F">
        <w:rPr>
          <w:rFonts w:ascii="Garamond" w:eastAsia="Garamond" w:hAnsi="Garamond" w:cs="Garamond"/>
          <w:sz w:val="24"/>
          <w:szCs w:val="24"/>
        </w:rPr>
        <w:t>s</w:t>
      </w:r>
      <w:r>
        <w:rPr>
          <w:rFonts w:ascii="Garamond" w:eastAsia="Garamond" w:hAnsi="Garamond" w:cs="Garamond"/>
          <w:sz w:val="24"/>
          <w:szCs w:val="24"/>
        </w:rPr>
        <w:t xml:space="preserve"> </w:t>
      </w:r>
      <w:r w:rsidR="008D176F">
        <w:rPr>
          <w:rFonts w:ascii="Garamond" w:eastAsia="Garamond" w:hAnsi="Garamond" w:cs="Garamond"/>
          <w:sz w:val="24"/>
          <w:szCs w:val="24"/>
        </w:rPr>
        <w:t>of fewer</w:t>
      </w:r>
      <w:r>
        <w:rPr>
          <w:rFonts w:ascii="Garamond" w:eastAsia="Garamond" w:hAnsi="Garamond" w:cs="Garamond"/>
          <w:sz w:val="24"/>
          <w:szCs w:val="24"/>
        </w:rPr>
        <w:t xml:space="preserve"> than 20 words, </w:t>
      </w:r>
      <w:r w:rsidR="008D176F">
        <w:rPr>
          <w:rFonts w:ascii="Garamond" w:eastAsia="Garamond" w:hAnsi="Garamond" w:cs="Garamond"/>
          <w:sz w:val="24"/>
          <w:szCs w:val="24"/>
        </w:rPr>
        <w:t>they</w:t>
      </w:r>
      <w:r>
        <w:rPr>
          <w:rFonts w:ascii="Garamond" w:eastAsia="Garamond" w:hAnsi="Garamond" w:cs="Garamond"/>
          <w:sz w:val="24"/>
          <w:szCs w:val="24"/>
        </w:rPr>
        <w:t xml:space="preserve"> should be placed within the paragraph with quotation marks (“........”). For direct </w:t>
      </w:r>
      <w:r w:rsidR="008D176F">
        <w:rPr>
          <w:rFonts w:ascii="Garamond" w:eastAsia="Garamond" w:hAnsi="Garamond" w:cs="Garamond"/>
          <w:sz w:val="24"/>
          <w:szCs w:val="24"/>
        </w:rPr>
        <w:t>quotations containing more than 20 words, they should be in a separate paragraph with a left indentation of 1,27 cm, justified, in italics,</w:t>
      </w:r>
      <w:r>
        <w:rPr>
          <w:rFonts w:ascii="Garamond" w:eastAsia="Garamond" w:hAnsi="Garamond" w:cs="Garamond"/>
          <w:sz w:val="24"/>
          <w:szCs w:val="24"/>
        </w:rPr>
        <w:t xml:space="preserve"> and use single line spacing. Tables should be presented on the same sheets of the manuscript and should have short descriptive titles. Figures should be clearly numbered, </w:t>
      </w:r>
      <w:r w:rsidR="008D176F">
        <w:rPr>
          <w:rFonts w:ascii="Garamond" w:eastAsia="Garamond" w:hAnsi="Garamond" w:cs="Garamond"/>
          <w:sz w:val="24"/>
          <w:szCs w:val="24"/>
        </w:rPr>
        <w:t>with sources,</w:t>
      </w:r>
      <w:r>
        <w:rPr>
          <w:rFonts w:ascii="Garamond" w:eastAsia="Garamond" w:hAnsi="Garamond" w:cs="Garamond"/>
          <w:sz w:val="24"/>
          <w:szCs w:val="24"/>
        </w:rPr>
        <w:t xml:space="preserve"> and should have explanatory captions. The author must indicate where Tables and Figures should be placed in the text.</w:t>
      </w:r>
    </w:p>
    <w:p w14:paraId="07E2BF72" w14:textId="57C61136" w:rsidR="00263B8D" w:rsidRDefault="00000000">
      <w:pPr>
        <w:spacing w:after="0" w:line="240" w:lineRule="auto"/>
        <w:ind w:firstLine="720"/>
        <w:jc w:val="both"/>
        <w:rPr>
          <w:rFonts w:ascii="Garamond" w:eastAsia="Garamond" w:hAnsi="Garamond" w:cs="Garamond"/>
          <w:sz w:val="24"/>
          <w:szCs w:val="24"/>
        </w:rPr>
      </w:pPr>
      <w:r>
        <w:rPr>
          <w:rFonts w:ascii="Garamond" w:eastAsia="Garamond" w:hAnsi="Garamond" w:cs="Garamond"/>
          <w:sz w:val="24"/>
          <w:szCs w:val="24"/>
        </w:rPr>
        <w:t>For footnote style, JCLI adheres to the Chicago Manual of Style, 17</w:t>
      </w:r>
      <w:r>
        <w:rPr>
          <w:rFonts w:ascii="Garamond" w:eastAsia="Garamond" w:hAnsi="Garamond" w:cs="Garamond"/>
          <w:sz w:val="24"/>
          <w:szCs w:val="24"/>
          <w:vertAlign w:val="superscript"/>
        </w:rPr>
        <w:t>th</w:t>
      </w:r>
      <w:r>
        <w:rPr>
          <w:rFonts w:ascii="Garamond" w:eastAsia="Garamond" w:hAnsi="Garamond" w:cs="Garamond"/>
          <w:sz w:val="24"/>
          <w:szCs w:val="24"/>
        </w:rPr>
        <w:t xml:space="preserve"> edition, 2017 (full note). JCLI encourages the author to use reference managers such as Mendeley or Zotero. Here are some of the common reference examples:</w:t>
      </w:r>
    </w:p>
    <w:p w14:paraId="20D72E84" w14:textId="77777777" w:rsidR="00263B8D" w:rsidRDefault="00000000">
      <w:pPr>
        <w:numPr>
          <w:ilvl w:val="1"/>
          <w:numId w:val="3"/>
        </w:numPr>
        <w:spacing w:after="0" w:line="240" w:lineRule="auto"/>
        <w:ind w:left="993"/>
        <w:jc w:val="both"/>
        <w:rPr>
          <w:rFonts w:ascii="Garamond" w:eastAsia="Garamond" w:hAnsi="Garamond" w:cs="Garamond"/>
          <w:sz w:val="24"/>
          <w:szCs w:val="24"/>
        </w:rPr>
      </w:pPr>
      <w:r>
        <w:rPr>
          <w:rFonts w:ascii="Garamond" w:eastAsia="Garamond" w:hAnsi="Garamond" w:cs="Garamond"/>
          <w:sz w:val="24"/>
          <w:szCs w:val="24"/>
        </w:rPr>
        <w:t>Books: in footnote</w:t>
      </w:r>
      <w:r>
        <w:rPr>
          <w:rFonts w:ascii="Garamond" w:eastAsia="Garamond" w:hAnsi="Garamond" w:cs="Garamond"/>
          <w:sz w:val="24"/>
          <w:szCs w:val="24"/>
          <w:vertAlign w:val="superscript"/>
        </w:rPr>
        <w:footnoteReference w:id="1"/>
      </w:r>
      <w:r>
        <w:rPr>
          <w:rFonts w:ascii="Garamond" w:eastAsia="Garamond" w:hAnsi="Garamond" w:cs="Garamond"/>
          <w:sz w:val="24"/>
          <w:szCs w:val="24"/>
        </w:rPr>
        <w:t xml:space="preserve"> and cross-reference;</w:t>
      </w:r>
      <w:r>
        <w:rPr>
          <w:rFonts w:ascii="Garamond" w:eastAsia="Garamond" w:hAnsi="Garamond" w:cs="Garamond"/>
          <w:sz w:val="24"/>
          <w:szCs w:val="24"/>
          <w:vertAlign w:val="superscript"/>
        </w:rPr>
        <w:footnoteReference w:id="2"/>
      </w:r>
    </w:p>
    <w:p w14:paraId="7A2036F8" w14:textId="77777777" w:rsidR="00263B8D" w:rsidRDefault="00000000">
      <w:pPr>
        <w:numPr>
          <w:ilvl w:val="1"/>
          <w:numId w:val="3"/>
        </w:numPr>
        <w:spacing w:after="0" w:line="240" w:lineRule="auto"/>
        <w:ind w:left="993"/>
        <w:jc w:val="both"/>
        <w:rPr>
          <w:rFonts w:ascii="Garamond" w:eastAsia="Garamond" w:hAnsi="Garamond" w:cs="Garamond"/>
          <w:sz w:val="24"/>
          <w:szCs w:val="24"/>
        </w:rPr>
      </w:pPr>
      <w:r>
        <w:rPr>
          <w:rFonts w:ascii="Garamond" w:eastAsia="Garamond" w:hAnsi="Garamond" w:cs="Garamond"/>
          <w:sz w:val="24"/>
          <w:szCs w:val="24"/>
        </w:rPr>
        <w:t>Chapter in Edited Book: in footnote</w:t>
      </w:r>
      <w:r>
        <w:rPr>
          <w:rFonts w:ascii="Garamond" w:eastAsia="Garamond" w:hAnsi="Garamond" w:cs="Garamond"/>
          <w:sz w:val="24"/>
          <w:szCs w:val="24"/>
          <w:vertAlign w:val="superscript"/>
        </w:rPr>
        <w:footnoteReference w:id="3"/>
      </w:r>
      <w:r>
        <w:rPr>
          <w:rFonts w:ascii="Garamond" w:eastAsia="Garamond" w:hAnsi="Garamond" w:cs="Garamond"/>
          <w:sz w:val="24"/>
          <w:szCs w:val="24"/>
        </w:rPr>
        <w:t xml:space="preserve"> and cross-reference;</w:t>
      </w:r>
      <w:r>
        <w:rPr>
          <w:rFonts w:ascii="Garamond" w:eastAsia="Garamond" w:hAnsi="Garamond" w:cs="Garamond"/>
          <w:sz w:val="24"/>
          <w:szCs w:val="24"/>
          <w:vertAlign w:val="superscript"/>
        </w:rPr>
        <w:footnoteReference w:id="4"/>
      </w:r>
    </w:p>
    <w:p w14:paraId="40E9D110" w14:textId="77777777" w:rsidR="00263B8D" w:rsidRDefault="00000000">
      <w:pPr>
        <w:numPr>
          <w:ilvl w:val="1"/>
          <w:numId w:val="3"/>
        </w:numPr>
        <w:spacing w:after="0" w:line="240" w:lineRule="auto"/>
        <w:ind w:left="993"/>
        <w:jc w:val="both"/>
        <w:rPr>
          <w:rFonts w:ascii="Garamond" w:eastAsia="Garamond" w:hAnsi="Garamond" w:cs="Garamond"/>
          <w:sz w:val="24"/>
          <w:szCs w:val="24"/>
        </w:rPr>
      </w:pPr>
      <w:r>
        <w:rPr>
          <w:rFonts w:ascii="Garamond" w:eastAsia="Garamond" w:hAnsi="Garamond" w:cs="Garamond"/>
          <w:sz w:val="24"/>
          <w:szCs w:val="24"/>
        </w:rPr>
        <w:t>Journal Article: in footnote</w:t>
      </w:r>
      <w:r>
        <w:rPr>
          <w:rFonts w:ascii="Garamond" w:eastAsia="Garamond" w:hAnsi="Garamond" w:cs="Garamond"/>
          <w:sz w:val="24"/>
          <w:szCs w:val="24"/>
          <w:vertAlign w:val="superscript"/>
        </w:rPr>
        <w:footnoteReference w:id="5"/>
      </w:r>
      <w:r>
        <w:rPr>
          <w:rFonts w:ascii="Garamond" w:eastAsia="Garamond" w:hAnsi="Garamond" w:cs="Garamond"/>
          <w:sz w:val="24"/>
          <w:szCs w:val="24"/>
        </w:rPr>
        <w:t xml:space="preserve"> and cross-reference;</w:t>
      </w:r>
      <w:r>
        <w:rPr>
          <w:rFonts w:ascii="Garamond" w:eastAsia="Garamond" w:hAnsi="Garamond" w:cs="Garamond"/>
          <w:sz w:val="24"/>
          <w:szCs w:val="24"/>
          <w:vertAlign w:val="superscript"/>
        </w:rPr>
        <w:footnoteReference w:id="6"/>
      </w:r>
    </w:p>
    <w:p w14:paraId="65062E26" w14:textId="77777777" w:rsidR="00263B8D" w:rsidRDefault="00000000">
      <w:pPr>
        <w:numPr>
          <w:ilvl w:val="1"/>
          <w:numId w:val="3"/>
        </w:numPr>
        <w:spacing w:after="0" w:line="240" w:lineRule="auto"/>
        <w:ind w:left="993"/>
        <w:jc w:val="both"/>
        <w:rPr>
          <w:rFonts w:ascii="Garamond" w:eastAsia="Garamond" w:hAnsi="Garamond" w:cs="Garamond"/>
          <w:sz w:val="24"/>
          <w:szCs w:val="24"/>
        </w:rPr>
      </w:pPr>
      <w:r>
        <w:rPr>
          <w:rFonts w:ascii="Garamond" w:eastAsia="Garamond" w:hAnsi="Garamond" w:cs="Garamond"/>
          <w:sz w:val="24"/>
          <w:szCs w:val="24"/>
        </w:rPr>
        <w:t>News or Magazine content: printed version</w:t>
      </w:r>
      <w:r>
        <w:rPr>
          <w:rFonts w:ascii="Garamond" w:eastAsia="Garamond" w:hAnsi="Garamond" w:cs="Garamond"/>
          <w:sz w:val="24"/>
          <w:szCs w:val="24"/>
          <w:vertAlign w:val="superscript"/>
        </w:rPr>
        <w:footnoteReference w:id="7"/>
      </w:r>
      <w:r>
        <w:rPr>
          <w:rFonts w:ascii="Garamond" w:eastAsia="Garamond" w:hAnsi="Garamond" w:cs="Garamond"/>
          <w:sz w:val="24"/>
          <w:szCs w:val="24"/>
        </w:rPr>
        <w:t xml:space="preserve"> and online version</w:t>
      </w:r>
      <w:r>
        <w:rPr>
          <w:rFonts w:ascii="Garamond" w:eastAsia="Garamond" w:hAnsi="Garamond" w:cs="Garamond"/>
          <w:sz w:val="24"/>
          <w:szCs w:val="24"/>
          <w:vertAlign w:val="superscript"/>
        </w:rPr>
        <w:footnoteReference w:id="8"/>
      </w:r>
      <w:r>
        <w:rPr>
          <w:rFonts w:ascii="Garamond" w:eastAsia="Garamond" w:hAnsi="Garamond" w:cs="Garamond"/>
          <w:sz w:val="24"/>
          <w:szCs w:val="24"/>
        </w:rPr>
        <w:t xml:space="preserve"> with cross-reference printed version</w:t>
      </w:r>
      <w:r>
        <w:rPr>
          <w:rFonts w:ascii="Garamond" w:eastAsia="Garamond" w:hAnsi="Garamond" w:cs="Garamond"/>
          <w:sz w:val="24"/>
          <w:szCs w:val="24"/>
          <w:vertAlign w:val="superscript"/>
        </w:rPr>
        <w:footnoteReference w:id="9"/>
      </w:r>
      <w:r>
        <w:rPr>
          <w:rFonts w:ascii="Garamond" w:eastAsia="Garamond" w:hAnsi="Garamond" w:cs="Garamond"/>
          <w:sz w:val="24"/>
          <w:szCs w:val="24"/>
        </w:rPr>
        <w:t xml:space="preserve"> and cross-reference online version;</w:t>
      </w:r>
      <w:r>
        <w:rPr>
          <w:rFonts w:ascii="Garamond" w:eastAsia="Garamond" w:hAnsi="Garamond" w:cs="Garamond"/>
          <w:sz w:val="24"/>
          <w:szCs w:val="24"/>
          <w:vertAlign w:val="superscript"/>
        </w:rPr>
        <w:footnoteReference w:id="10"/>
      </w:r>
    </w:p>
    <w:p w14:paraId="392551C1" w14:textId="77777777" w:rsidR="00263B8D" w:rsidRDefault="00263B8D">
      <w:pPr>
        <w:spacing w:after="0" w:line="240" w:lineRule="auto"/>
        <w:jc w:val="both"/>
        <w:rPr>
          <w:rFonts w:ascii="Garamond" w:eastAsia="Garamond" w:hAnsi="Garamond" w:cs="Garamond"/>
          <w:b/>
          <w:sz w:val="24"/>
          <w:szCs w:val="24"/>
        </w:rPr>
      </w:pPr>
    </w:p>
    <w:p w14:paraId="67BE2CCE" w14:textId="77777777" w:rsidR="00263B8D" w:rsidRDefault="00000000">
      <w:pPr>
        <w:spacing w:after="0" w:line="240" w:lineRule="auto"/>
        <w:jc w:val="both"/>
        <w:rPr>
          <w:rFonts w:ascii="Garamond" w:eastAsia="Garamond" w:hAnsi="Garamond" w:cs="Garamond"/>
          <w:i/>
          <w:sz w:val="24"/>
          <w:szCs w:val="24"/>
        </w:rPr>
      </w:pPr>
      <w:r>
        <w:rPr>
          <w:rFonts w:ascii="Garamond" w:eastAsia="Garamond" w:hAnsi="Garamond" w:cs="Garamond"/>
          <w:i/>
          <w:sz w:val="24"/>
          <w:szCs w:val="24"/>
        </w:rPr>
        <w:t>II.A.1. Sub-heading Level 3</w:t>
      </w:r>
    </w:p>
    <w:p w14:paraId="05C9D6EC" w14:textId="574F7574" w:rsidR="00263B8D"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Garamond" w:eastAsia="Garamond" w:hAnsi="Garamond" w:cs="Garamond"/>
          <w:sz w:val="24"/>
          <w:szCs w:val="24"/>
        </w:rPr>
      </w:pPr>
      <w:r>
        <w:rPr>
          <w:rFonts w:ascii="Garamond" w:eastAsia="Garamond" w:hAnsi="Garamond" w:cs="Garamond"/>
          <w:sz w:val="24"/>
          <w:szCs w:val="24"/>
        </w:rPr>
        <w:t>JCLI invites contributions from law scholars and law practitioners to submit manuscript(s). The Journal believes the scholars</w:t>
      </w:r>
      <w:r w:rsidR="008D176F">
        <w:rPr>
          <w:rFonts w:ascii="Garamond" w:eastAsia="Garamond" w:hAnsi="Garamond" w:cs="Garamond"/>
          <w:sz w:val="24"/>
          <w:szCs w:val="24"/>
        </w:rPr>
        <w:t>’</w:t>
      </w:r>
      <w:r>
        <w:rPr>
          <w:rFonts w:ascii="Garamond" w:eastAsia="Garamond" w:hAnsi="Garamond" w:cs="Garamond"/>
          <w:sz w:val="24"/>
          <w:szCs w:val="24"/>
        </w:rPr>
        <w:t xml:space="preserve"> and practitioners’ expertise and experiences in law would be valuable to the readers in general. Authors who wish to submit manuscripts to JCLI are encouraged to submit the manuscript online by sending the manuscript to our editorial e-mail at contact@jcli-bi.org</w:t>
      </w:r>
    </w:p>
    <w:p w14:paraId="2B46C76B" w14:textId="77777777" w:rsidR="00263B8D" w:rsidRDefault="00263B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Garamond" w:eastAsia="Garamond" w:hAnsi="Garamond" w:cs="Garamond"/>
          <w:sz w:val="24"/>
          <w:szCs w:val="24"/>
        </w:rPr>
      </w:pPr>
    </w:p>
    <w:p w14:paraId="555D29BD" w14:textId="77777777" w:rsidR="00263B8D" w:rsidRDefault="00000000">
      <w:pPr>
        <w:spacing w:after="0" w:line="240" w:lineRule="auto"/>
        <w:jc w:val="both"/>
        <w:rPr>
          <w:rFonts w:ascii="Garamond" w:eastAsia="Garamond" w:hAnsi="Garamond" w:cs="Garamond"/>
          <w:sz w:val="24"/>
          <w:szCs w:val="24"/>
        </w:rPr>
      </w:pPr>
      <w:r>
        <w:rPr>
          <w:rFonts w:ascii="Garamond" w:eastAsia="Garamond" w:hAnsi="Garamond" w:cs="Garamond"/>
          <w:sz w:val="24"/>
          <w:szCs w:val="24"/>
        </w:rPr>
        <w:lastRenderedPageBreak/>
        <w:t>II.A.1.i. Sub-heading Level 4</w:t>
      </w:r>
    </w:p>
    <w:p w14:paraId="721717A4" w14:textId="49B81F7C" w:rsidR="00263B8D"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Garamond" w:eastAsia="Garamond" w:hAnsi="Garamond" w:cs="Garamond"/>
          <w:b/>
          <w:color w:val="000000"/>
          <w:sz w:val="24"/>
          <w:szCs w:val="24"/>
        </w:rPr>
      </w:pPr>
      <w:r>
        <w:rPr>
          <w:rFonts w:ascii="Garamond" w:eastAsia="Garamond" w:hAnsi="Garamond" w:cs="Garamond"/>
          <w:color w:val="000000"/>
          <w:sz w:val="24"/>
          <w:szCs w:val="24"/>
        </w:rPr>
        <w:t>JC</w:t>
      </w:r>
      <w:r>
        <w:rPr>
          <w:rFonts w:ascii="Garamond" w:eastAsia="Garamond" w:hAnsi="Garamond" w:cs="Garamond"/>
          <w:sz w:val="24"/>
          <w:szCs w:val="24"/>
        </w:rPr>
        <w:t>LI</w:t>
      </w:r>
      <w:r>
        <w:rPr>
          <w:rFonts w:ascii="Garamond" w:eastAsia="Garamond" w:hAnsi="Garamond" w:cs="Garamond"/>
          <w:color w:val="000000"/>
          <w:sz w:val="24"/>
          <w:szCs w:val="24"/>
        </w:rPr>
        <w:t xml:space="preserve"> aims to be indexed with and included in Indonesian Publication Indexing (IPI), Google Scholar, Indonesian Scientific Journal Database (ISJD), Directory of Research Journals Indexing (DRJI), Journal Table of Contents (</w:t>
      </w:r>
      <w:proofErr w:type="spellStart"/>
      <w:r>
        <w:rPr>
          <w:rFonts w:ascii="Garamond" w:eastAsia="Garamond" w:hAnsi="Garamond" w:cs="Garamond"/>
          <w:color w:val="000000"/>
          <w:sz w:val="24"/>
          <w:szCs w:val="24"/>
        </w:rPr>
        <w:t>JournalTOCs</w:t>
      </w:r>
      <w:proofErr w:type="spellEnd"/>
      <w:r>
        <w:rPr>
          <w:rFonts w:ascii="Garamond" w:eastAsia="Garamond" w:hAnsi="Garamond" w:cs="Garamond"/>
          <w:color w:val="000000"/>
          <w:sz w:val="24"/>
          <w:szCs w:val="24"/>
        </w:rPr>
        <w:t xml:space="preserve">), and Directory of Open Access Journal (DOAJ). It is also pursuing national accreditation </w:t>
      </w:r>
      <w:r>
        <w:rPr>
          <w:rFonts w:ascii="Garamond" w:eastAsia="Garamond" w:hAnsi="Garamond" w:cs="Garamond"/>
          <w:sz w:val="24"/>
          <w:szCs w:val="24"/>
        </w:rPr>
        <w:t>by the Ministry</w:t>
      </w:r>
      <w:r>
        <w:rPr>
          <w:rFonts w:ascii="Garamond" w:eastAsia="Garamond" w:hAnsi="Garamond" w:cs="Garamond"/>
          <w:color w:val="000000"/>
          <w:sz w:val="24"/>
          <w:szCs w:val="24"/>
        </w:rPr>
        <w:t xml:space="preserve"> of </w:t>
      </w:r>
      <w:r>
        <w:rPr>
          <w:rFonts w:ascii="Garamond" w:eastAsia="Garamond" w:hAnsi="Garamond" w:cs="Garamond"/>
          <w:color w:val="000000"/>
          <w:sz w:val="24"/>
          <w:szCs w:val="24"/>
          <w:highlight w:val="white"/>
        </w:rPr>
        <w:t xml:space="preserve">Education and Culture </w:t>
      </w:r>
      <w:r w:rsidR="008D176F">
        <w:rPr>
          <w:rFonts w:ascii="Garamond" w:eastAsia="Garamond" w:hAnsi="Garamond" w:cs="Garamond"/>
          <w:color w:val="000000"/>
          <w:sz w:val="24"/>
          <w:szCs w:val="24"/>
          <w:highlight w:val="white"/>
        </w:rPr>
        <w:t xml:space="preserve">of the </w:t>
      </w:r>
      <w:r>
        <w:rPr>
          <w:rFonts w:ascii="Garamond" w:eastAsia="Garamond" w:hAnsi="Garamond" w:cs="Garamond"/>
          <w:color w:val="000000"/>
          <w:sz w:val="24"/>
          <w:szCs w:val="24"/>
          <w:highlight w:val="white"/>
        </w:rPr>
        <w:t xml:space="preserve">Republic of Indonesia and inclusion </w:t>
      </w:r>
      <w:r w:rsidR="008D176F">
        <w:rPr>
          <w:rFonts w:ascii="Garamond" w:eastAsia="Garamond" w:hAnsi="Garamond" w:cs="Garamond"/>
          <w:color w:val="000000"/>
          <w:sz w:val="24"/>
          <w:szCs w:val="24"/>
          <w:highlight w:val="white"/>
        </w:rPr>
        <w:t>in</w:t>
      </w:r>
      <w:r>
        <w:rPr>
          <w:rFonts w:ascii="Garamond" w:eastAsia="Garamond" w:hAnsi="Garamond" w:cs="Garamond"/>
          <w:color w:val="000000"/>
          <w:sz w:val="24"/>
          <w:szCs w:val="24"/>
        </w:rPr>
        <w:t xml:space="preserve"> the SCOPUS database.</w:t>
      </w:r>
    </w:p>
    <w:p w14:paraId="7AF2E290" w14:textId="77777777" w:rsidR="00263B8D" w:rsidRDefault="00263B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rPr>
          <w:rFonts w:ascii="Garamond" w:eastAsia="Garamond" w:hAnsi="Garamond" w:cs="Garamond"/>
          <w:b/>
          <w:sz w:val="24"/>
          <w:szCs w:val="24"/>
        </w:rPr>
      </w:pPr>
    </w:p>
    <w:p w14:paraId="52EAB568" w14:textId="77777777" w:rsidR="00263B8D" w:rsidRDefault="00263B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rPr>
          <w:rFonts w:ascii="Garamond" w:eastAsia="Garamond" w:hAnsi="Garamond" w:cs="Garamond"/>
          <w:b/>
          <w:sz w:val="24"/>
          <w:szCs w:val="24"/>
        </w:rPr>
      </w:pPr>
    </w:p>
    <w:p w14:paraId="13CE0735" w14:textId="5CDF65F3" w:rsidR="008D176F" w:rsidRDefault="008D176F">
      <w:pPr>
        <w:numPr>
          <w:ilvl w:val="0"/>
          <w:numId w:val="4"/>
        </w:numPr>
        <w:spacing w:after="0" w:line="240" w:lineRule="auto"/>
        <w:ind w:left="540" w:hanging="540"/>
        <w:jc w:val="both"/>
        <w:rPr>
          <w:rFonts w:ascii="Garamond" w:eastAsia="Garamond" w:hAnsi="Garamond" w:cs="Garamond"/>
          <w:b/>
          <w:color w:val="000000"/>
          <w:sz w:val="24"/>
          <w:szCs w:val="24"/>
        </w:rPr>
      </w:pPr>
      <w:r>
        <w:rPr>
          <w:rFonts w:ascii="Garamond" w:eastAsia="Garamond" w:hAnsi="Garamond" w:cs="Garamond"/>
          <w:b/>
          <w:color w:val="000000"/>
          <w:sz w:val="24"/>
          <w:szCs w:val="24"/>
        </w:rPr>
        <w:t>HEADING FOR OTHER SUBSTANTIVE DISCUSSION</w:t>
      </w:r>
    </w:p>
    <w:p w14:paraId="65D20440" w14:textId="77777777" w:rsidR="008D176F" w:rsidRDefault="008D176F" w:rsidP="008D176F">
      <w:pPr>
        <w:spacing w:after="0" w:line="240" w:lineRule="auto"/>
        <w:jc w:val="both"/>
        <w:rPr>
          <w:rFonts w:ascii="Garamond" w:eastAsia="Garamond" w:hAnsi="Garamond" w:cs="Garamond"/>
          <w:b/>
          <w:color w:val="000000"/>
          <w:sz w:val="24"/>
          <w:szCs w:val="24"/>
        </w:rPr>
      </w:pPr>
    </w:p>
    <w:p w14:paraId="01E09C3C" w14:textId="7F157337" w:rsidR="008D176F" w:rsidRDefault="008D176F">
      <w:pPr>
        <w:numPr>
          <w:ilvl w:val="0"/>
          <w:numId w:val="4"/>
        </w:numPr>
        <w:spacing w:after="0" w:line="240" w:lineRule="auto"/>
        <w:ind w:left="540" w:hanging="540"/>
        <w:jc w:val="both"/>
        <w:rPr>
          <w:rFonts w:ascii="Garamond" w:eastAsia="Garamond" w:hAnsi="Garamond" w:cs="Garamond"/>
          <w:b/>
          <w:color w:val="000000"/>
          <w:sz w:val="24"/>
          <w:szCs w:val="24"/>
        </w:rPr>
      </w:pPr>
      <w:r>
        <w:rPr>
          <w:rFonts w:ascii="Garamond" w:eastAsia="Garamond" w:hAnsi="Garamond" w:cs="Garamond"/>
          <w:b/>
          <w:color w:val="000000"/>
          <w:sz w:val="24"/>
          <w:szCs w:val="24"/>
        </w:rPr>
        <w:t>HEADING FOR OTHER SUBSTANTIVE DISCUSSION</w:t>
      </w:r>
    </w:p>
    <w:p w14:paraId="1A6DDA84" w14:textId="77777777" w:rsidR="008D176F" w:rsidRDefault="008D176F" w:rsidP="008D176F">
      <w:pPr>
        <w:spacing w:after="0" w:line="240" w:lineRule="auto"/>
        <w:jc w:val="both"/>
        <w:rPr>
          <w:rFonts w:ascii="Garamond" w:eastAsia="Garamond" w:hAnsi="Garamond" w:cs="Garamond"/>
          <w:b/>
          <w:color w:val="000000"/>
          <w:sz w:val="24"/>
          <w:szCs w:val="24"/>
        </w:rPr>
      </w:pPr>
    </w:p>
    <w:p w14:paraId="0541BC4A" w14:textId="6501B0D1" w:rsidR="008D176F" w:rsidRDefault="008D176F">
      <w:pPr>
        <w:numPr>
          <w:ilvl w:val="0"/>
          <w:numId w:val="4"/>
        </w:numPr>
        <w:spacing w:after="0" w:line="240" w:lineRule="auto"/>
        <w:ind w:left="540" w:hanging="540"/>
        <w:jc w:val="both"/>
        <w:rPr>
          <w:rFonts w:ascii="Garamond" w:eastAsia="Garamond" w:hAnsi="Garamond" w:cs="Garamond"/>
          <w:b/>
          <w:color w:val="000000"/>
          <w:sz w:val="24"/>
          <w:szCs w:val="24"/>
        </w:rPr>
      </w:pPr>
      <w:r>
        <w:rPr>
          <w:rFonts w:ascii="Garamond" w:eastAsia="Garamond" w:hAnsi="Garamond" w:cs="Garamond"/>
          <w:b/>
          <w:color w:val="000000"/>
          <w:sz w:val="24"/>
          <w:szCs w:val="24"/>
        </w:rPr>
        <w:t>HEADING FOR OTHER SUBSTANTIVE DISCUSSION</w:t>
      </w:r>
      <w:r>
        <w:rPr>
          <w:rFonts w:ascii="Garamond" w:eastAsia="Garamond" w:hAnsi="Garamond" w:cs="Garamond"/>
          <w:b/>
          <w:color w:val="000000"/>
          <w:sz w:val="24"/>
          <w:szCs w:val="24"/>
        </w:rPr>
        <w:t xml:space="preserve"> (if needed)</w:t>
      </w:r>
    </w:p>
    <w:p w14:paraId="425672A4" w14:textId="77777777" w:rsidR="008D176F" w:rsidRDefault="008D176F" w:rsidP="008D176F">
      <w:pPr>
        <w:spacing w:after="0" w:line="240" w:lineRule="auto"/>
        <w:jc w:val="both"/>
        <w:rPr>
          <w:rFonts w:ascii="Garamond" w:eastAsia="Garamond" w:hAnsi="Garamond" w:cs="Garamond"/>
          <w:b/>
          <w:color w:val="000000"/>
          <w:sz w:val="24"/>
          <w:szCs w:val="24"/>
        </w:rPr>
      </w:pPr>
    </w:p>
    <w:p w14:paraId="113E43CE" w14:textId="379CC212" w:rsidR="00263B8D" w:rsidRDefault="00000000">
      <w:pPr>
        <w:numPr>
          <w:ilvl w:val="0"/>
          <w:numId w:val="4"/>
        </w:numPr>
        <w:spacing w:after="0" w:line="240" w:lineRule="auto"/>
        <w:ind w:left="540" w:hanging="540"/>
        <w:jc w:val="both"/>
        <w:rPr>
          <w:rFonts w:ascii="Garamond" w:eastAsia="Garamond" w:hAnsi="Garamond" w:cs="Garamond"/>
          <w:b/>
          <w:color w:val="000000"/>
          <w:sz w:val="24"/>
          <w:szCs w:val="24"/>
        </w:rPr>
      </w:pPr>
      <w:r>
        <w:rPr>
          <w:rFonts w:ascii="Garamond" w:eastAsia="Garamond" w:hAnsi="Garamond" w:cs="Garamond"/>
          <w:b/>
          <w:color w:val="000000"/>
          <w:sz w:val="24"/>
          <w:szCs w:val="24"/>
        </w:rPr>
        <w:t>C</w:t>
      </w:r>
      <w:r>
        <w:rPr>
          <w:rFonts w:ascii="Garamond" w:eastAsia="Garamond" w:hAnsi="Garamond" w:cs="Garamond"/>
          <w:b/>
          <w:sz w:val="24"/>
          <w:szCs w:val="24"/>
        </w:rPr>
        <w:t>ONCLUDING REMARKS</w:t>
      </w:r>
    </w:p>
    <w:p w14:paraId="1CBBF454" w14:textId="3C2DD4CC" w:rsidR="00263B8D" w:rsidRDefault="00000000">
      <w:pPr>
        <w:spacing w:after="0" w:line="240" w:lineRule="auto"/>
        <w:ind w:firstLine="720"/>
        <w:jc w:val="both"/>
        <w:rPr>
          <w:rFonts w:ascii="Garamond" w:eastAsia="Garamond" w:hAnsi="Garamond" w:cs="Garamond"/>
          <w:sz w:val="24"/>
          <w:szCs w:val="24"/>
        </w:rPr>
      </w:pPr>
      <w:r>
        <w:rPr>
          <w:rFonts w:ascii="Garamond" w:eastAsia="Garamond" w:hAnsi="Garamond" w:cs="Garamond"/>
          <w:color w:val="000000"/>
          <w:sz w:val="24"/>
          <w:szCs w:val="24"/>
        </w:rPr>
        <w:t xml:space="preserve">The template is set to </w:t>
      </w:r>
      <w:r w:rsidR="008D176F">
        <w:rPr>
          <w:rFonts w:ascii="Garamond" w:eastAsia="Garamond" w:hAnsi="Garamond" w:cs="Garamond"/>
          <w:color w:val="000000"/>
          <w:sz w:val="24"/>
          <w:szCs w:val="24"/>
        </w:rPr>
        <w:t>us</w:t>
      </w:r>
      <w:r>
        <w:rPr>
          <w:rFonts w:ascii="Garamond" w:eastAsia="Garamond" w:hAnsi="Garamond" w:cs="Garamond"/>
          <w:color w:val="000000"/>
          <w:sz w:val="24"/>
          <w:szCs w:val="24"/>
        </w:rPr>
        <w:t xml:space="preserve">e the </w:t>
      </w:r>
      <w:r>
        <w:rPr>
          <w:rFonts w:ascii="Garamond" w:eastAsia="Garamond" w:hAnsi="Garamond" w:cs="Garamond"/>
          <w:sz w:val="24"/>
          <w:szCs w:val="24"/>
        </w:rPr>
        <w:t>author’s</w:t>
      </w:r>
      <w:r>
        <w:rPr>
          <w:rFonts w:ascii="Garamond" w:eastAsia="Garamond" w:hAnsi="Garamond" w:cs="Garamond"/>
          <w:color w:val="000000"/>
          <w:sz w:val="24"/>
          <w:szCs w:val="24"/>
        </w:rPr>
        <w:t xml:space="preserve"> format </w:t>
      </w:r>
      <w:r w:rsidR="008D176F">
        <w:rPr>
          <w:rFonts w:ascii="Garamond" w:eastAsia="Garamond" w:hAnsi="Garamond" w:cs="Garamond"/>
          <w:color w:val="000000"/>
          <w:sz w:val="24"/>
          <w:szCs w:val="24"/>
        </w:rPr>
        <w:t>for</w:t>
      </w:r>
      <w:r>
        <w:rPr>
          <w:rFonts w:ascii="Garamond" w:eastAsia="Garamond" w:hAnsi="Garamond" w:cs="Garamond"/>
          <w:color w:val="000000"/>
          <w:sz w:val="24"/>
          <w:szCs w:val="24"/>
        </w:rPr>
        <w:t xml:space="preserve"> submitting </w:t>
      </w:r>
      <w:r>
        <w:rPr>
          <w:rFonts w:ascii="Garamond" w:eastAsia="Garamond" w:hAnsi="Garamond" w:cs="Garamond"/>
          <w:sz w:val="24"/>
          <w:szCs w:val="24"/>
        </w:rPr>
        <w:t>manuscripts</w:t>
      </w:r>
      <w:r>
        <w:rPr>
          <w:rFonts w:ascii="Garamond" w:eastAsia="Garamond" w:hAnsi="Garamond" w:cs="Garamond"/>
          <w:color w:val="000000"/>
          <w:sz w:val="24"/>
          <w:szCs w:val="24"/>
        </w:rPr>
        <w:t xml:space="preserve"> to JC</w:t>
      </w:r>
      <w:r>
        <w:rPr>
          <w:rFonts w:ascii="Garamond" w:eastAsia="Garamond" w:hAnsi="Garamond" w:cs="Garamond"/>
          <w:sz w:val="24"/>
          <w:szCs w:val="24"/>
        </w:rPr>
        <w:t>LI</w:t>
      </w:r>
      <w:r>
        <w:rPr>
          <w:rFonts w:ascii="Garamond" w:eastAsia="Garamond" w:hAnsi="Garamond" w:cs="Garamond"/>
          <w:color w:val="000000"/>
          <w:sz w:val="24"/>
          <w:szCs w:val="24"/>
        </w:rPr>
        <w:t>. Manuscripts submitted should fit this template and JC</w:t>
      </w:r>
      <w:r>
        <w:rPr>
          <w:rFonts w:ascii="Garamond" w:eastAsia="Garamond" w:hAnsi="Garamond" w:cs="Garamond"/>
          <w:sz w:val="24"/>
          <w:szCs w:val="24"/>
        </w:rPr>
        <w:t>LI</w:t>
      </w:r>
      <w:r>
        <w:rPr>
          <w:rFonts w:ascii="Garamond" w:eastAsia="Garamond" w:hAnsi="Garamond" w:cs="Garamond"/>
          <w:color w:val="000000"/>
          <w:sz w:val="24"/>
          <w:szCs w:val="24"/>
        </w:rPr>
        <w:t>’s detailed submission instruction</w:t>
      </w:r>
      <w:r w:rsidR="008D176F">
        <w:rPr>
          <w:rFonts w:ascii="Garamond" w:eastAsia="Garamond" w:hAnsi="Garamond" w:cs="Garamond"/>
          <w:color w:val="000000"/>
          <w:sz w:val="24"/>
          <w:szCs w:val="24"/>
        </w:rPr>
        <w:t>s</w:t>
      </w:r>
      <w:r>
        <w:rPr>
          <w:rFonts w:ascii="Garamond" w:eastAsia="Garamond" w:hAnsi="Garamond" w:cs="Garamond"/>
          <w:color w:val="000000"/>
          <w:sz w:val="24"/>
          <w:szCs w:val="24"/>
        </w:rPr>
        <w:t>. For further inquiries</w:t>
      </w:r>
      <w:r w:rsidR="008D176F">
        <w:rPr>
          <w:rFonts w:ascii="Garamond" w:eastAsia="Garamond" w:hAnsi="Garamond" w:cs="Garamond"/>
          <w:color w:val="000000"/>
          <w:sz w:val="24"/>
          <w:szCs w:val="24"/>
        </w:rPr>
        <w:t>,</w:t>
      </w:r>
      <w:r>
        <w:rPr>
          <w:rFonts w:ascii="Garamond" w:eastAsia="Garamond" w:hAnsi="Garamond" w:cs="Garamond"/>
          <w:color w:val="000000"/>
          <w:sz w:val="24"/>
          <w:szCs w:val="24"/>
        </w:rPr>
        <w:t xml:space="preserve"> please contact the editorial </w:t>
      </w:r>
      <w:r>
        <w:rPr>
          <w:rFonts w:ascii="Garamond" w:eastAsia="Garamond" w:hAnsi="Garamond" w:cs="Garamond"/>
          <w:sz w:val="24"/>
          <w:szCs w:val="24"/>
        </w:rPr>
        <w:t>staff</w:t>
      </w:r>
      <w:r>
        <w:rPr>
          <w:rFonts w:ascii="Garamond" w:eastAsia="Garamond" w:hAnsi="Garamond" w:cs="Garamond"/>
          <w:color w:val="000000"/>
          <w:sz w:val="24"/>
          <w:szCs w:val="24"/>
        </w:rPr>
        <w:t xml:space="preserve"> </w:t>
      </w:r>
      <w:r>
        <w:rPr>
          <w:rFonts w:ascii="Garamond" w:eastAsia="Garamond" w:hAnsi="Garamond" w:cs="Garamond"/>
          <w:sz w:val="24"/>
          <w:szCs w:val="24"/>
        </w:rPr>
        <w:t>at</w:t>
      </w:r>
      <w:r>
        <w:rPr>
          <w:rFonts w:ascii="Garamond" w:eastAsia="Garamond" w:hAnsi="Garamond" w:cs="Garamond"/>
          <w:color w:val="000000"/>
          <w:sz w:val="24"/>
          <w:szCs w:val="24"/>
        </w:rPr>
        <w:t xml:space="preserve"> </w:t>
      </w:r>
      <w:hyperlink r:id="rId8" w:history="1">
        <w:r w:rsidR="008D176F" w:rsidRPr="008E237D">
          <w:rPr>
            <w:rStyle w:val="Hyperlink"/>
            <w:rFonts w:ascii="Garamond" w:eastAsia="Garamond" w:hAnsi="Garamond" w:cs="Garamond"/>
            <w:sz w:val="24"/>
            <w:szCs w:val="24"/>
          </w:rPr>
          <w:t>contact@jcli-bi.org</w:t>
        </w:r>
      </w:hyperlink>
      <w:r w:rsidR="008D176F">
        <w:rPr>
          <w:rFonts w:ascii="Garamond" w:eastAsia="Garamond" w:hAnsi="Garamond" w:cs="Garamond"/>
          <w:sz w:val="24"/>
          <w:szCs w:val="24"/>
        </w:rPr>
        <w:t xml:space="preserve">. </w:t>
      </w:r>
      <w:r w:rsidR="008D176F">
        <w:rPr>
          <w:rFonts w:ascii="Garamond" w:eastAsia="Garamond" w:hAnsi="Garamond" w:cs="Garamond"/>
          <w:sz w:val="24"/>
          <w:szCs w:val="24"/>
          <w:highlight w:val="white"/>
        </w:rPr>
        <w:t xml:space="preserve">The length of the </w:t>
      </w:r>
      <w:r w:rsidR="008D176F">
        <w:rPr>
          <w:rFonts w:ascii="Garamond" w:eastAsia="Garamond" w:hAnsi="Garamond" w:cs="Garamond"/>
          <w:sz w:val="24"/>
          <w:szCs w:val="24"/>
          <w:highlight w:val="white"/>
        </w:rPr>
        <w:t>concluding remark</w:t>
      </w:r>
      <w:r w:rsidR="008D176F">
        <w:rPr>
          <w:rFonts w:ascii="Garamond" w:eastAsia="Garamond" w:hAnsi="Garamond" w:cs="Garamond"/>
          <w:sz w:val="24"/>
          <w:szCs w:val="24"/>
          <w:highlight w:val="white"/>
        </w:rPr>
        <w:t xml:space="preserve"> is encouraged not to exceed approximately </w:t>
      </w:r>
      <w:r w:rsidR="008D176F">
        <w:rPr>
          <w:rFonts w:ascii="Garamond" w:eastAsia="Garamond" w:hAnsi="Garamond" w:cs="Garamond"/>
          <w:sz w:val="24"/>
          <w:szCs w:val="24"/>
          <w:highlight w:val="white"/>
        </w:rPr>
        <w:t>5</w:t>
      </w:r>
      <w:r w:rsidR="008D176F">
        <w:rPr>
          <w:rFonts w:ascii="Garamond" w:eastAsia="Garamond" w:hAnsi="Garamond" w:cs="Garamond"/>
          <w:sz w:val="24"/>
          <w:szCs w:val="24"/>
          <w:highlight w:val="white"/>
        </w:rPr>
        <w:t>% of the total length of the paper.</w:t>
      </w:r>
    </w:p>
    <w:p w14:paraId="719900B9" w14:textId="77777777" w:rsidR="00263B8D" w:rsidRDefault="00263B8D">
      <w:pPr>
        <w:spacing w:after="0" w:line="240" w:lineRule="auto"/>
        <w:jc w:val="both"/>
        <w:rPr>
          <w:rFonts w:ascii="Garamond" w:eastAsia="Garamond" w:hAnsi="Garamond" w:cs="Garamond"/>
          <w:sz w:val="24"/>
          <w:szCs w:val="24"/>
        </w:rPr>
      </w:pPr>
    </w:p>
    <w:p w14:paraId="15BD9A9E" w14:textId="77777777" w:rsidR="00263B8D" w:rsidRDefault="00263B8D">
      <w:pPr>
        <w:spacing w:after="0" w:line="240" w:lineRule="auto"/>
        <w:jc w:val="both"/>
        <w:rPr>
          <w:rFonts w:ascii="Garamond" w:eastAsia="Garamond" w:hAnsi="Garamond" w:cs="Garamond"/>
          <w:sz w:val="24"/>
          <w:szCs w:val="24"/>
        </w:rPr>
      </w:pPr>
    </w:p>
    <w:p w14:paraId="0C0EB7CD" w14:textId="77777777" w:rsidR="008D176F" w:rsidRDefault="008D176F">
      <w:pPr>
        <w:spacing w:after="0" w:line="240" w:lineRule="auto"/>
        <w:jc w:val="both"/>
        <w:rPr>
          <w:rFonts w:ascii="Garamond" w:eastAsia="Garamond" w:hAnsi="Garamond" w:cs="Garamond"/>
          <w:sz w:val="24"/>
          <w:szCs w:val="24"/>
        </w:rPr>
      </w:pPr>
    </w:p>
    <w:p w14:paraId="25E157F9" w14:textId="77777777" w:rsidR="00263B8D" w:rsidRDefault="00263B8D">
      <w:pPr>
        <w:spacing w:after="0" w:line="240" w:lineRule="auto"/>
        <w:jc w:val="both"/>
        <w:rPr>
          <w:rFonts w:ascii="Garamond" w:eastAsia="Garamond" w:hAnsi="Garamond" w:cs="Garamond"/>
          <w:sz w:val="24"/>
          <w:szCs w:val="24"/>
        </w:rPr>
      </w:pPr>
    </w:p>
    <w:p w14:paraId="50F8A441" w14:textId="4102629F" w:rsidR="00263B8D" w:rsidRDefault="00000000">
      <w:pPr>
        <w:spacing w:after="0" w:line="240" w:lineRule="auto"/>
        <w:jc w:val="both"/>
        <w:rPr>
          <w:rFonts w:ascii="Garamond" w:eastAsia="Garamond" w:hAnsi="Garamond" w:cs="Garamond"/>
          <w:b/>
          <w:sz w:val="24"/>
          <w:szCs w:val="24"/>
        </w:rPr>
      </w:pPr>
      <w:r>
        <w:rPr>
          <w:rFonts w:ascii="Garamond" w:eastAsia="Garamond" w:hAnsi="Garamond" w:cs="Garamond"/>
          <w:b/>
          <w:sz w:val="24"/>
          <w:szCs w:val="24"/>
        </w:rPr>
        <w:t>REFERENCES</w:t>
      </w:r>
      <w:r w:rsidR="006477B6">
        <w:rPr>
          <w:rFonts w:ascii="Garamond" w:eastAsia="Garamond" w:hAnsi="Garamond" w:cs="Garamond"/>
          <w:b/>
          <w:sz w:val="24"/>
          <w:szCs w:val="24"/>
        </w:rPr>
        <w:t xml:space="preserve"> (SUGGESTED TO USE REFERENCE MANAGER, EX: MENDELEY)</w:t>
      </w:r>
    </w:p>
    <w:p w14:paraId="6DC21F50" w14:textId="77777777" w:rsidR="00263B8D" w:rsidRDefault="00263B8D">
      <w:pPr>
        <w:spacing w:after="0" w:line="240" w:lineRule="auto"/>
        <w:jc w:val="both"/>
        <w:rPr>
          <w:rFonts w:ascii="Garamond" w:eastAsia="Garamond" w:hAnsi="Garamond" w:cs="Garamond"/>
          <w:sz w:val="24"/>
          <w:szCs w:val="24"/>
        </w:rPr>
      </w:pPr>
    </w:p>
    <w:p w14:paraId="4B3827C3" w14:textId="77777777" w:rsidR="00263B8D" w:rsidRDefault="00000000">
      <w:pPr>
        <w:spacing w:after="0" w:line="240" w:lineRule="auto"/>
        <w:ind w:left="720" w:hanging="720"/>
        <w:jc w:val="both"/>
        <w:rPr>
          <w:rFonts w:ascii="Garamond" w:eastAsia="Garamond" w:hAnsi="Garamond" w:cs="Garamond"/>
          <w:sz w:val="24"/>
          <w:szCs w:val="24"/>
          <w:highlight w:val="white"/>
        </w:rPr>
      </w:pPr>
      <w:r>
        <w:rPr>
          <w:rFonts w:ascii="Garamond" w:eastAsia="Garamond" w:hAnsi="Garamond" w:cs="Garamond"/>
          <w:sz w:val="24"/>
          <w:szCs w:val="24"/>
          <w:highlight w:val="white"/>
        </w:rPr>
        <w:t>Smith, Smith. </w:t>
      </w:r>
      <w:r>
        <w:rPr>
          <w:rFonts w:ascii="Garamond" w:eastAsia="Garamond" w:hAnsi="Garamond" w:cs="Garamond"/>
          <w:i/>
          <w:sz w:val="24"/>
          <w:szCs w:val="24"/>
        </w:rPr>
        <w:t>Swing Time</w:t>
      </w:r>
      <w:r>
        <w:rPr>
          <w:rFonts w:ascii="Garamond" w:eastAsia="Garamond" w:hAnsi="Garamond" w:cs="Garamond"/>
          <w:sz w:val="24"/>
          <w:szCs w:val="24"/>
        </w:rPr>
        <w:t>. </w:t>
      </w:r>
      <w:r>
        <w:rPr>
          <w:rFonts w:ascii="Garamond" w:eastAsia="Garamond" w:hAnsi="Garamond" w:cs="Garamond"/>
          <w:sz w:val="24"/>
          <w:szCs w:val="24"/>
          <w:highlight w:val="white"/>
        </w:rPr>
        <w:t>New York: Penguin Press, 2016.</w:t>
      </w:r>
    </w:p>
    <w:p w14:paraId="445A4CAA" w14:textId="77777777" w:rsidR="00263B8D" w:rsidRDefault="00000000">
      <w:pPr>
        <w:spacing w:after="0" w:line="240" w:lineRule="auto"/>
        <w:ind w:left="720" w:hanging="720"/>
        <w:jc w:val="both"/>
        <w:rPr>
          <w:rFonts w:ascii="Garamond" w:eastAsia="Garamond" w:hAnsi="Garamond" w:cs="Garamond"/>
          <w:sz w:val="24"/>
          <w:szCs w:val="24"/>
          <w:highlight w:val="white"/>
        </w:rPr>
      </w:pPr>
      <w:r>
        <w:rPr>
          <w:rFonts w:ascii="Garamond" w:eastAsia="Garamond" w:hAnsi="Garamond" w:cs="Garamond"/>
          <w:sz w:val="24"/>
          <w:szCs w:val="24"/>
          <w:highlight w:val="white"/>
        </w:rPr>
        <w:t>Thoreau, Henry David. “Walking,” in </w:t>
      </w:r>
      <w:r>
        <w:rPr>
          <w:rFonts w:ascii="Garamond" w:eastAsia="Garamond" w:hAnsi="Garamond" w:cs="Garamond"/>
          <w:i/>
          <w:sz w:val="24"/>
          <w:szCs w:val="24"/>
        </w:rPr>
        <w:t>The Making of the American Essay</w:t>
      </w:r>
      <w:r>
        <w:rPr>
          <w:rFonts w:ascii="Garamond" w:eastAsia="Garamond" w:hAnsi="Garamond" w:cs="Garamond"/>
          <w:sz w:val="24"/>
          <w:szCs w:val="24"/>
          <w:highlight w:val="white"/>
        </w:rPr>
        <w:t>, ed. John D’Agata. Minneapolis: Graywolf Press, 2016.</w:t>
      </w:r>
    </w:p>
    <w:p w14:paraId="573BF404" w14:textId="77777777" w:rsidR="00263B8D" w:rsidRDefault="00000000">
      <w:pPr>
        <w:spacing w:after="0" w:line="240" w:lineRule="auto"/>
        <w:ind w:left="720" w:hanging="720"/>
        <w:jc w:val="both"/>
        <w:rPr>
          <w:rFonts w:ascii="Garamond" w:eastAsia="Garamond" w:hAnsi="Garamond" w:cs="Garamond"/>
          <w:sz w:val="24"/>
          <w:szCs w:val="24"/>
          <w:highlight w:val="white"/>
        </w:rPr>
      </w:pPr>
      <w:r>
        <w:rPr>
          <w:rFonts w:ascii="Garamond" w:eastAsia="Garamond" w:hAnsi="Garamond" w:cs="Garamond"/>
          <w:sz w:val="24"/>
          <w:szCs w:val="24"/>
          <w:highlight w:val="white"/>
        </w:rPr>
        <w:t xml:space="preserve">Keng, Shao-Hsun, Chun-Hung Lin, and Peter F. Orazem. “Expanding College Access in Taiwan, 1978–2014: Effects on Graduate Quality and Income Inequality,” </w:t>
      </w:r>
      <w:r>
        <w:rPr>
          <w:rFonts w:ascii="Garamond" w:eastAsia="Garamond" w:hAnsi="Garamond" w:cs="Garamond"/>
          <w:i/>
          <w:sz w:val="24"/>
          <w:szCs w:val="24"/>
        </w:rPr>
        <w:t>Journal of Human Capital</w:t>
      </w:r>
      <w:r>
        <w:rPr>
          <w:rFonts w:ascii="Garamond" w:eastAsia="Garamond" w:hAnsi="Garamond" w:cs="Garamond"/>
          <w:sz w:val="24"/>
          <w:szCs w:val="24"/>
          <w:highlight w:val="white"/>
        </w:rPr>
        <w:t xml:space="preserve"> 11, no. 1 (Spring 2017): 9–10. https://doi.org/10.1086/690235.</w:t>
      </w:r>
    </w:p>
    <w:p w14:paraId="320D2AA0" w14:textId="77777777" w:rsidR="00263B8D" w:rsidRDefault="00000000">
      <w:pPr>
        <w:spacing w:after="0" w:line="240" w:lineRule="auto"/>
        <w:ind w:left="720" w:hanging="720"/>
        <w:jc w:val="both"/>
        <w:rPr>
          <w:rFonts w:ascii="Garamond" w:eastAsia="Garamond" w:hAnsi="Garamond" w:cs="Garamond"/>
          <w:sz w:val="24"/>
          <w:szCs w:val="24"/>
          <w:highlight w:val="white"/>
        </w:rPr>
      </w:pPr>
      <w:r>
        <w:rPr>
          <w:rFonts w:ascii="Garamond" w:eastAsia="Garamond" w:hAnsi="Garamond" w:cs="Garamond"/>
          <w:sz w:val="24"/>
          <w:szCs w:val="24"/>
          <w:highlight w:val="white"/>
        </w:rPr>
        <w:t xml:space="preserve">Mead, Rebecca. “The Prophet of Dystopia,” </w:t>
      </w:r>
      <w:r>
        <w:rPr>
          <w:rFonts w:ascii="Garamond" w:eastAsia="Garamond" w:hAnsi="Garamond" w:cs="Garamond"/>
          <w:i/>
          <w:sz w:val="24"/>
          <w:szCs w:val="24"/>
        </w:rPr>
        <w:t>New Yorker</w:t>
      </w:r>
      <w:r>
        <w:rPr>
          <w:rFonts w:ascii="Garamond" w:eastAsia="Garamond" w:hAnsi="Garamond" w:cs="Garamond"/>
          <w:sz w:val="24"/>
          <w:szCs w:val="24"/>
          <w:highlight w:val="white"/>
        </w:rPr>
        <w:t>, 17 April 2017.</w:t>
      </w:r>
    </w:p>
    <w:p w14:paraId="145B1C62" w14:textId="52E78A51" w:rsidR="00263B8D" w:rsidRDefault="00000000" w:rsidP="00CD2ADB">
      <w:pPr>
        <w:spacing w:after="0" w:line="240" w:lineRule="auto"/>
        <w:ind w:left="720" w:hanging="720"/>
        <w:jc w:val="both"/>
        <w:rPr>
          <w:rFonts w:ascii="Garamond" w:eastAsia="Garamond" w:hAnsi="Garamond" w:cs="Garamond"/>
          <w:sz w:val="24"/>
          <w:szCs w:val="24"/>
        </w:rPr>
      </w:pPr>
      <w:r>
        <w:rPr>
          <w:rFonts w:ascii="Garamond" w:eastAsia="Garamond" w:hAnsi="Garamond" w:cs="Garamond"/>
          <w:sz w:val="24"/>
          <w:szCs w:val="24"/>
          <w:highlight w:val="white"/>
        </w:rPr>
        <w:t>Manjoo, Farhad. “Snap Makes a Bet on the Cultural Supremacy of the Camera,” </w:t>
      </w:r>
      <w:r>
        <w:rPr>
          <w:rFonts w:ascii="Garamond" w:eastAsia="Garamond" w:hAnsi="Garamond" w:cs="Garamond"/>
          <w:i/>
          <w:sz w:val="24"/>
          <w:szCs w:val="24"/>
        </w:rPr>
        <w:t>New York Times</w:t>
      </w:r>
      <w:r>
        <w:rPr>
          <w:rFonts w:ascii="Garamond" w:eastAsia="Garamond" w:hAnsi="Garamond" w:cs="Garamond"/>
          <w:sz w:val="24"/>
          <w:szCs w:val="24"/>
          <w:highlight w:val="white"/>
        </w:rPr>
        <w:t>, 8 March 2017, https://www.nytimes.com/2017/03/08/technology/snap-makes-a-bet-on-the-cultural-supremacy-of-the-camera.html.</w:t>
      </w:r>
    </w:p>
    <w:p w14:paraId="065C8D22" w14:textId="77777777" w:rsidR="00263B8D" w:rsidRDefault="00263B8D">
      <w:pPr>
        <w:spacing w:after="0" w:line="240" w:lineRule="auto"/>
        <w:jc w:val="both"/>
        <w:rPr>
          <w:rFonts w:ascii="Garamond" w:eastAsia="Garamond" w:hAnsi="Garamond" w:cs="Garamond"/>
          <w:sz w:val="24"/>
          <w:szCs w:val="24"/>
        </w:rPr>
      </w:pPr>
    </w:p>
    <w:p w14:paraId="3EC3F962" w14:textId="77777777" w:rsidR="000A52BA" w:rsidRDefault="000A52BA">
      <w:pPr>
        <w:spacing w:after="0" w:line="240" w:lineRule="auto"/>
        <w:jc w:val="both"/>
        <w:rPr>
          <w:rFonts w:ascii="Garamond" w:eastAsia="Garamond" w:hAnsi="Garamond" w:cs="Garamond"/>
          <w:sz w:val="24"/>
          <w:szCs w:val="24"/>
        </w:rPr>
      </w:pPr>
    </w:p>
    <w:p w14:paraId="279F074D" w14:textId="226159E0" w:rsidR="00263B8D" w:rsidRPr="006477B6" w:rsidRDefault="006477B6">
      <w:pPr>
        <w:spacing w:after="0" w:line="240" w:lineRule="auto"/>
        <w:jc w:val="both"/>
        <w:rPr>
          <w:rFonts w:ascii="Garamond" w:eastAsia="Garamond" w:hAnsi="Garamond" w:cs="Garamond"/>
          <w:b/>
          <w:sz w:val="20"/>
          <w:szCs w:val="20"/>
        </w:rPr>
      </w:pPr>
      <w:r w:rsidRPr="006477B6">
        <w:rPr>
          <w:rFonts w:ascii="Garamond" w:eastAsia="Garamond" w:hAnsi="Garamond" w:cs="Garamond"/>
          <w:b/>
          <w:sz w:val="20"/>
          <w:szCs w:val="20"/>
        </w:rPr>
        <w:t xml:space="preserve">A </w:t>
      </w:r>
      <w:r w:rsidR="008D176F">
        <w:rPr>
          <w:rFonts w:ascii="Garamond" w:eastAsia="Garamond" w:hAnsi="Garamond" w:cs="Garamond"/>
          <w:b/>
          <w:sz w:val="20"/>
          <w:szCs w:val="20"/>
        </w:rPr>
        <w:t xml:space="preserve">SPECIAL </w:t>
      </w:r>
      <w:r w:rsidRPr="006477B6">
        <w:rPr>
          <w:rFonts w:ascii="Garamond" w:eastAsia="Garamond" w:hAnsi="Garamond" w:cs="Garamond"/>
          <w:b/>
          <w:sz w:val="20"/>
          <w:szCs w:val="20"/>
        </w:rPr>
        <w:t>GUIDE FOR WRITING REGULATIONS &amp; COURT DECISIONS (TO BE INCLUDED WITH REFERENCE MANAGER, EX: MENDELEY)</w:t>
      </w:r>
    </w:p>
    <w:p w14:paraId="1AE7E66C" w14:textId="77777777" w:rsidR="00263B8D" w:rsidRPr="006477B6" w:rsidRDefault="00263B8D">
      <w:pPr>
        <w:spacing w:after="0" w:line="240" w:lineRule="auto"/>
        <w:jc w:val="both"/>
        <w:rPr>
          <w:rFonts w:ascii="Garamond" w:eastAsia="Garamond" w:hAnsi="Garamond" w:cs="Garamond"/>
          <w:sz w:val="20"/>
          <w:szCs w:val="20"/>
        </w:rPr>
      </w:pPr>
    </w:p>
    <w:p w14:paraId="627CD476" w14:textId="77777777" w:rsidR="00263B8D" w:rsidRDefault="00000000">
      <w:pPr>
        <w:numPr>
          <w:ilvl w:val="0"/>
          <w:numId w:val="1"/>
        </w:numPr>
        <w:spacing w:after="0" w:line="240" w:lineRule="auto"/>
        <w:ind w:left="360"/>
        <w:jc w:val="both"/>
        <w:rPr>
          <w:rFonts w:ascii="Garamond" w:eastAsia="Garamond" w:hAnsi="Garamond" w:cs="Garamond"/>
          <w:sz w:val="24"/>
          <w:szCs w:val="24"/>
        </w:rPr>
      </w:pPr>
      <w:r>
        <w:rPr>
          <w:rFonts w:ascii="Garamond" w:eastAsia="Garamond" w:hAnsi="Garamond" w:cs="Garamond"/>
          <w:sz w:val="24"/>
          <w:szCs w:val="24"/>
        </w:rPr>
        <w:t xml:space="preserve">Regulation (Law; Government Regulation; Regional Government Regulation; Presidential Regulation/Decision; Minister (sector) Regulation/Decision) </w:t>
      </w:r>
    </w:p>
    <w:p w14:paraId="69EFAC2D" w14:textId="77777777" w:rsidR="00263B8D" w:rsidRDefault="00263B8D">
      <w:pPr>
        <w:spacing w:after="0" w:line="240" w:lineRule="auto"/>
        <w:jc w:val="both"/>
        <w:rPr>
          <w:rFonts w:ascii="Garamond" w:eastAsia="Garamond" w:hAnsi="Garamond" w:cs="Garamond"/>
          <w:sz w:val="24"/>
          <w:szCs w:val="24"/>
        </w:rPr>
      </w:pP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7185"/>
      </w:tblGrid>
      <w:tr w:rsidR="00263B8D" w14:paraId="6C2AF84B" w14:textId="77777777">
        <w:tc>
          <w:tcPr>
            <w:tcW w:w="1815" w:type="dxa"/>
            <w:tcMar>
              <w:top w:w="100" w:type="dxa"/>
              <w:left w:w="100" w:type="dxa"/>
              <w:bottom w:w="100" w:type="dxa"/>
              <w:right w:w="100" w:type="dxa"/>
            </w:tcMar>
          </w:tcPr>
          <w:p w14:paraId="2AAD171C"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rPr>
              <w:t>Footnote</w:t>
            </w:r>
          </w:p>
        </w:tc>
        <w:tc>
          <w:tcPr>
            <w:tcW w:w="7185" w:type="dxa"/>
            <w:tcMar>
              <w:top w:w="100" w:type="dxa"/>
              <w:left w:w="100" w:type="dxa"/>
              <w:bottom w:w="100" w:type="dxa"/>
              <w:right w:w="100" w:type="dxa"/>
            </w:tcMar>
          </w:tcPr>
          <w:p w14:paraId="4D5C6211"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vertAlign w:val="superscript"/>
              </w:rPr>
              <w:t xml:space="preserve">1 </w:t>
            </w:r>
            <w:r>
              <w:rPr>
                <w:rFonts w:ascii="Garamond" w:eastAsia="Garamond" w:hAnsi="Garamond" w:cs="Garamond"/>
                <w:sz w:val="24"/>
                <w:szCs w:val="24"/>
              </w:rPr>
              <w:t>Indonesia, Law No. 32 of 2014 on Ocean Affairs (hereinafter Law on Ocean Affairs), Art. 56.</w:t>
            </w:r>
          </w:p>
        </w:tc>
      </w:tr>
      <w:tr w:rsidR="00263B8D" w14:paraId="7E0D4D8B" w14:textId="77777777">
        <w:tc>
          <w:tcPr>
            <w:tcW w:w="1815" w:type="dxa"/>
            <w:tcMar>
              <w:top w:w="100" w:type="dxa"/>
              <w:left w:w="100" w:type="dxa"/>
              <w:bottom w:w="100" w:type="dxa"/>
              <w:right w:w="100" w:type="dxa"/>
            </w:tcMar>
          </w:tcPr>
          <w:p w14:paraId="47845872"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rPr>
              <w:t>Cross-reference</w:t>
            </w:r>
          </w:p>
        </w:tc>
        <w:tc>
          <w:tcPr>
            <w:tcW w:w="7185" w:type="dxa"/>
            <w:tcMar>
              <w:top w:w="100" w:type="dxa"/>
              <w:left w:w="100" w:type="dxa"/>
              <w:bottom w:w="100" w:type="dxa"/>
              <w:right w:w="100" w:type="dxa"/>
            </w:tcMar>
          </w:tcPr>
          <w:p w14:paraId="3B41E95A"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vertAlign w:val="superscript"/>
              </w:rPr>
              <w:t>2</w:t>
            </w:r>
            <w:r>
              <w:rPr>
                <w:rFonts w:ascii="Garamond" w:eastAsia="Garamond" w:hAnsi="Garamond" w:cs="Garamond"/>
                <w:sz w:val="24"/>
                <w:szCs w:val="24"/>
              </w:rPr>
              <w:t xml:space="preserve"> Ibid., Art. 58.</w:t>
            </w:r>
          </w:p>
          <w:p w14:paraId="6AA1F6A9"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rPr>
              <w:t>…</w:t>
            </w:r>
          </w:p>
          <w:p w14:paraId="6280B0D9"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vertAlign w:val="superscript"/>
              </w:rPr>
              <w:t>6</w:t>
            </w:r>
            <w:r>
              <w:rPr>
                <w:rFonts w:ascii="Garamond" w:eastAsia="Garamond" w:hAnsi="Garamond" w:cs="Garamond"/>
                <w:sz w:val="24"/>
                <w:szCs w:val="24"/>
              </w:rPr>
              <w:t xml:space="preserve"> Law on Ocean Affairs, Art. 70.</w:t>
            </w:r>
          </w:p>
        </w:tc>
      </w:tr>
      <w:tr w:rsidR="00263B8D" w14:paraId="683451C9" w14:textId="77777777">
        <w:tc>
          <w:tcPr>
            <w:tcW w:w="1815" w:type="dxa"/>
            <w:tcMar>
              <w:top w:w="100" w:type="dxa"/>
              <w:left w:w="100" w:type="dxa"/>
              <w:bottom w:w="100" w:type="dxa"/>
              <w:right w:w="100" w:type="dxa"/>
            </w:tcMar>
          </w:tcPr>
          <w:p w14:paraId="5F64D018"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rPr>
              <w:lastRenderedPageBreak/>
              <w:t>Bibliography</w:t>
            </w:r>
          </w:p>
        </w:tc>
        <w:tc>
          <w:tcPr>
            <w:tcW w:w="7185" w:type="dxa"/>
            <w:tcMar>
              <w:top w:w="100" w:type="dxa"/>
              <w:left w:w="100" w:type="dxa"/>
              <w:bottom w:w="100" w:type="dxa"/>
              <w:right w:w="100" w:type="dxa"/>
            </w:tcMar>
          </w:tcPr>
          <w:p w14:paraId="399019A3"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sz w:val="24"/>
                <w:szCs w:val="24"/>
              </w:rPr>
            </w:pPr>
            <w:r>
              <w:rPr>
                <w:rFonts w:ascii="Garamond" w:eastAsia="Garamond" w:hAnsi="Garamond" w:cs="Garamond"/>
                <w:sz w:val="24"/>
                <w:szCs w:val="24"/>
              </w:rPr>
              <w:t>Indonesia, Law No. 32 of 2014 on Ocean Affairs.</w:t>
            </w:r>
          </w:p>
        </w:tc>
      </w:tr>
    </w:tbl>
    <w:p w14:paraId="3A32887A" w14:textId="77777777" w:rsidR="00263B8D" w:rsidRDefault="00263B8D">
      <w:pPr>
        <w:spacing w:after="0" w:line="240" w:lineRule="auto"/>
        <w:jc w:val="both"/>
        <w:rPr>
          <w:rFonts w:ascii="Garamond" w:eastAsia="Garamond" w:hAnsi="Garamond" w:cs="Garamond"/>
          <w:sz w:val="24"/>
          <w:szCs w:val="24"/>
        </w:rPr>
      </w:pPr>
    </w:p>
    <w:p w14:paraId="3FAA7ED8" w14:textId="77777777" w:rsidR="00263B8D" w:rsidRDefault="00000000">
      <w:pPr>
        <w:numPr>
          <w:ilvl w:val="0"/>
          <w:numId w:val="1"/>
        </w:numPr>
        <w:spacing w:after="0" w:line="240" w:lineRule="auto"/>
        <w:ind w:left="360"/>
        <w:jc w:val="both"/>
        <w:rPr>
          <w:rFonts w:ascii="Garamond" w:eastAsia="Garamond" w:hAnsi="Garamond" w:cs="Garamond"/>
          <w:sz w:val="24"/>
          <w:szCs w:val="24"/>
        </w:rPr>
      </w:pPr>
      <w:r>
        <w:rPr>
          <w:rFonts w:ascii="Garamond" w:eastAsia="Garamond" w:hAnsi="Garamond" w:cs="Garamond"/>
          <w:sz w:val="24"/>
          <w:szCs w:val="24"/>
        </w:rPr>
        <w:t>Court Decision (District Court; High Court; Supreme Court; Constitutional Court)</w:t>
      </w:r>
    </w:p>
    <w:p w14:paraId="0AD10C19" w14:textId="77777777" w:rsidR="00263B8D" w:rsidRDefault="00263B8D">
      <w:pPr>
        <w:spacing w:after="0" w:line="240" w:lineRule="auto"/>
        <w:rPr>
          <w:rFonts w:ascii="Garamond" w:eastAsia="Garamond" w:hAnsi="Garamond" w:cs="Garamond"/>
          <w:b/>
        </w:rPr>
      </w:pPr>
    </w:p>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7170"/>
      </w:tblGrid>
      <w:tr w:rsidR="00263B8D" w14:paraId="00E69075" w14:textId="77777777">
        <w:tc>
          <w:tcPr>
            <w:tcW w:w="1830" w:type="dxa"/>
            <w:tcMar>
              <w:top w:w="100" w:type="dxa"/>
              <w:left w:w="100" w:type="dxa"/>
              <w:bottom w:w="100" w:type="dxa"/>
              <w:right w:w="100" w:type="dxa"/>
            </w:tcMar>
          </w:tcPr>
          <w:p w14:paraId="10C9D694"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rPr>
              <w:t>Footnote</w:t>
            </w:r>
          </w:p>
        </w:tc>
        <w:tc>
          <w:tcPr>
            <w:tcW w:w="7170" w:type="dxa"/>
            <w:tcMar>
              <w:top w:w="100" w:type="dxa"/>
              <w:left w:w="100" w:type="dxa"/>
              <w:bottom w:w="100" w:type="dxa"/>
              <w:right w:w="100" w:type="dxa"/>
            </w:tcMar>
          </w:tcPr>
          <w:p w14:paraId="2A39A7C9"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vertAlign w:val="superscript"/>
              </w:rPr>
              <w:t>1</w:t>
            </w:r>
            <w:r>
              <w:rPr>
                <w:rFonts w:ascii="Garamond" w:eastAsia="Garamond" w:hAnsi="Garamond" w:cs="Garamond"/>
              </w:rPr>
              <w:t xml:space="preserve"> Bandung District Court, 4 September 2003, 49/</w:t>
            </w:r>
            <w:proofErr w:type="spellStart"/>
            <w:r>
              <w:rPr>
                <w:rFonts w:ascii="Garamond" w:eastAsia="Garamond" w:hAnsi="Garamond" w:cs="Garamond"/>
              </w:rPr>
              <w:t>Pdt.G</w:t>
            </w:r>
            <w:proofErr w:type="spellEnd"/>
            <w:r>
              <w:rPr>
                <w:rFonts w:ascii="Garamond" w:eastAsia="Garamond" w:hAnsi="Garamond" w:cs="Garamond"/>
              </w:rPr>
              <w:t>/2003/PN.BDG, p. 102.</w:t>
            </w:r>
          </w:p>
        </w:tc>
      </w:tr>
      <w:tr w:rsidR="00263B8D" w14:paraId="2E837510" w14:textId="77777777">
        <w:tc>
          <w:tcPr>
            <w:tcW w:w="1830" w:type="dxa"/>
            <w:tcMar>
              <w:top w:w="100" w:type="dxa"/>
              <w:left w:w="100" w:type="dxa"/>
              <w:bottom w:w="100" w:type="dxa"/>
              <w:right w:w="100" w:type="dxa"/>
            </w:tcMar>
          </w:tcPr>
          <w:p w14:paraId="28408217"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rPr>
              <w:t>Cross-reference</w:t>
            </w:r>
          </w:p>
        </w:tc>
        <w:tc>
          <w:tcPr>
            <w:tcW w:w="7170" w:type="dxa"/>
            <w:tcMar>
              <w:top w:w="100" w:type="dxa"/>
              <w:left w:w="100" w:type="dxa"/>
              <w:bottom w:w="100" w:type="dxa"/>
              <w:right w:w="100" w:type="dxa"/>
            </w:tcMar>
          </w:tcPr>
          <w:p w14:paraId="4DCB7EED"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vertAlign w:val="superscript"/>
              </w:rPr>
              <w:t>2</w:t>
            </w:r>
            <w:r>
              <w:rPr>
                <w:rFonts w:ascii="Garamond" w:eastAsia="Garamond" w:hAnsi="Garamond" w:cs="Garamond"/>
              </w:rPr>
              <w:t xml:space="preserve"> Ibid., p. 123.</w:t>
            </w:r>
          </w:p>
          <w:p w14:paraId="12D135E3"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rPr>
              <w:t>…</w:t>
            </w:r>
          </w:p>
          <w:p w14:paraId="7F0CF0EB"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vertAlign w:val="superscript"/>
              </w:rPr>
              <w:t>6</w:t>
            </w:r>
            <w:r>
              <w:rPr>
                <w:rFonts w:ascii="Garamond" w:eastAsia="Garamond" w:hAnsi="Garamond" w:cs="Garamond"/>
              </w:rPr>
              <w:t xml:space="preserve"> Bandung District Court, 4 September 2003, p. 130.</w:t>
            </w:r>
          </w:p>
        </w:tc>
      </w:tr>
      <w:tr w:rsidR="00263B8D" w14:paraId="69C0E7DC" w14:textId="77777777">
        <w:tc>
          <w:tcPr>
            <w:tcW w:w="1830" w:type="dxa"/>
            <w:tcMar>
              <w:top w:w="100" w:type="dxa"/>
              <w:left w:w="100" w:type="dxa"/>
              <w:bottom w:w="100" w:type="dxa"/>
              <w:right w:w="100" w:type="dxa"/>
            </w:tcMar>
          </w:tcPr>
          <w:p w14:paraId="042EACE0"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rPr>
              <w:t>Bibliography</w:t>
            </w:r>
          </w:p>
        </w:tc>
        <w:tc>
          <w:tcPr>
            <w:tcW w:w="7170" w:type="dxa"/>
            <w:tcMar>
              <w:top w:w="100" w:type="dxa"/>
              <w:left w:w="100" w:type="dxa"/>
              <w:bottom w:w="100" w:type="dxa"/>
              <w:right w:w="100" w:type="dxa"/>
            </w:tcMar>
          </w:tcPr>
          <w:p w14:paraId="0DAABA7C" w14:textId="77777777" w:rsidR="00263B8D" w:rsidRDefault="00000000">
            <w:pPr>
              <w:widowControl w:val="0"/>
              <w:pBdr>
                <w:top w:val="nil"/>
                <w:left w:val="nil"/>
                <w:bottom w:val="nil"/>
                <w:right w:val="nil"/>
                <w:between w:val="nil"/>
              </w:pBdr>
              <w:spacing w:after="0" w:line="240" w:lineRule="auto"/>
              <w:rPr>
                <w:rFonts w:ascii="Garamond" w:eastAsia="Garamond" w:hAnsi="Garamond" w:cs="Garamond"/>
              </w:rPr>
            </w:pPr>
            <w:r>
              <w:rPr>
                <w:rFonts w:ascii="Garamond" w:eastAsia="Garamond" w:hAnsi="Garamond" w:cs="Garamond"/>
              </w:rPr>
              <w:t>Bandung District Court, 4 September 2003, 49/</w:t>
            </w:r>
            <w:proofErr w:type="spellStart"/>
            <w:r>
              <w:rPr>
                <w:rFonts w:ascii="Garamond" w:eastAsia="Garamond" w:hAnsi="Garamond" w:cs="Garamond"/>
              </w:rPr>
              <w:t>Pdt.G</w:t>
            </w:r>
            <w:proofErr w:type="spellEnd"/>
            <w:r>
              <w:rPr>
                <w:rFonts w:ascii="Garamond" w:eastAsia="Garamond" w:hAnsi="Garamond" w:cs="Garamond"/>
              </w:rPr>
              <w:t>/2003/PN.BDG</w:t>
            </w:r>
          </w:p>
        </w:tc>
      </w:tr>
    </w:tbl>
    <w:p w14:paraId="288BC155" w14:textId="77777777" w:rsidR="00263B8D" w:rsidRDefault="00263B8D">
      <w:pPr>
        <w:spacing w:after="0" w:line="240" w:lineRule="auto"/>
        <w:rPr>
          <w:rFonts w:ascii="Garamond" w:eastAsia="Garamond" w:hAnsi="Garamond" w:cs="Garamond"/>
          <w:b/>
        </w:rPr>
      </w:pPr>
    </w:p>
    <w:p w14:paraId="1484AEA0" w14:textId="77777777" w:rsidR="00263B8D" w:rsidRDefault="00000000">
      <w:pPr>
        <w:numPr>
          <w:ilvl w:val="0"/>
          <w:numId w:val="1"/>
        </w:numPr>
        <w:spacing w:after="0" w:line="240" w:lineRule="auto"/>
        <w:ind w:left="360"/>
        <w:rPr>
          <w:rFonts w:ascii="Garamond" w:eastAsia="Garamond" w:hAnsi="Garamond" w:cs="Garamond"/>
        </w:rPr>
      </w:pPr>
      <w:r>
        <w:rPr>
          <w:rFonts w:ascii="Garamond" w:eastAsia="Garamond" w:hAnsi="Garamond" w:cs="Garamond"/>
        </w:rPr>
        <w:t>Specific Regulation</w:t>
      </w:r>
    </w:p>
    <w:p w14:paraId="412BF44F" w14:textId="77777777" w:rsidR="00263B8D" w:rsidRDefault="00000000">
      <w:pPr>
        <w:numPr>
          <w:ilvl w:val="0"/>
          <w:numId w:val="2"/>
        </w:numPr>
        <w:spacing w:after="0" w:line="240" w:lineRule="auto"/>
        <w:rPr>
          <w:rFonts w:ascii="Garamond" w:eastAsia="Garamond" w:hAnsi="Garamond" w:cs="Garamond"/>
        </w:rPr>
      </w:pPr>
      <w:proofErr w:type="spellStart"/>
      <w:r>
        <w:rPr>
          <w:rFonts w:ascii="Garamond" w:eastAsia="Garamond" w:hAnsi="Garamond" w:cs="Garamond"/>
          <w:i/>
        </w:rPr>
        <w:t>Peraturan</w:t>
      </w:r>
      <w:proofErr w:type="spellEnd"/>
      <w:r>
        <w:rPr>
          <w:rFonts w:ascii="Garamond" w:eastAsia="Garamond" w:hAnsi="Garamond" w:cs="Garamond"/>
          <w:i/>
        </w:rPr>
        <w:t xml:space="preserve"> Bank Indonesia</w:t>
      </w:r>
      <w:r>
        <w:rPr>
          <w:rFonts w:ascii="Garamond" w:eastAsia="Garamond" w:hAnsi="Garamond" w:cs="Garamond"/>
        </w:rPr>
        <w:t xml:space="preserve"> (PBI): Bank Indonesia Regulation</w:t>
      </w:r>
    </w:p>
    <w:p w14:paraId="4E485FC7" w14:textId="77777777" w:rsidR="00263B8D" w:rsidRDefault="00000000">
      <w:pPr>
        <w:numPr>
          <w:ilvl w:val="0"/>
          <w:numId w:val="2"/>
        </w:numPr>
        <w:spacing w:after="0" w:line="240" w:lineRule="auto"/>
        <w:rPr>
          <w:rFonts w:ascii="Garamond" w:eastAsia="Garamond" w:hAnsi="Garamond" w:cs="Garamond"/>
        </w:rPr>
      </w:pPr>
      <w:proofErr w:type="spellStart"/>
      <w:r>
        <w:rPr>
          <w:rFonts w:ascii="Garamond" w:eastAsia="Garamond" w:hAnsi="Garamond" w:cs="Garamond"/>
          <w:i/>
        </w:rPr>
        <w:t>Peraturan</w:t>
      </w:r>
      <w:proofErr w:type="spellEnd"/>
      <w:r>
        <w:rPr>
          <w:rFonts w:ascii="Garamond" w:eastAsia="Garamond" w:hAnsi="Garamond" w:cs="Garamond"/>
          <w:i/>
        </w:rPr>
        <w:t xml:space="preserve"> </w:t>
      </w:r>
      <w:proofErr w:type="spellStart"/>
      <w:r>
        <w:rPr>
          <w:rFonts w:ascii="Garamond" w:eastAsia="Garamond" w:hAnsi="Garamond" w:cs="Garamond"/>
          <w:i/>
        </w:rPr>
        <w:t>Otoritas</w:t>
      </w:r>
      <w:proofErr w:type="spellEnd"/>
      <w:r>
        <w:rPr>
          <w:rFonts w:ascii="Garamond" w:eastAsia="Garamond" w:hAnsi="Garamond" w:cs="Garamond"/>
          <w:i/>
        </w:rPr>
        <w:t xml:space="preserve"> Jasa </w:t>
      </w:r>
      <w:proofErr w:type="spellStart"/>
      <w:r>
        <w:rPr>
          <w:rFonts w:ascii="Garamond" w:eastAsia="Garamond" w:hAnsi="Garamond" w:cs="Garamond"/>
          <w:i/>
        </w:rPr>
        <w:t>Keuangan</w:t>
      </w:r>
      <w:proofErr w:type="spellEnd"/>
      <w:r>
        <w:rPr>
          <w:rFonts w:ascii="Garamond" w:eastAsia="Garamond" w:hAnsi="Garamond" w:cs="Garamond"/>
        </w:rPr>
        <w:t xml:space="preserve"> (POJK): Financial Service Authority Regulation</w:t>
      </w:r>
    </w:p>
    <w:p w14:paraId="498F3068" w14:textId="77777777" w:rsidR="00263B8D" w:rsidRDefault="00000000">
      <w:pPr>
        <w:numPr>
          <w:ilvl w:val="0"/>
          <w:numId w:val="2"/>
        </w:numPr>
        <w:spacing w:after="0" w:line="240" w:lineRule="auto"/>
        <w:rPr>
          <w:rFonts w:ascii="Garamond" w:eastAsia="Garamond" w:hAnsi="Garamond" w:cs="Garamond"/>
        </w:rPr>
      </w:pPr>
      <w:proofErr w:type="spellStart"/>
      <w:r>
        <w:rPr>
          <w:rFonts w:ascii="Garamond" w:eastAsia="Garamond" w:hAnsi="Garamond" w:cs="Garamond"/>
          <w:i/>
        </w:rPr>
        <w:t>Peraturan</w:t>
      </w:r>
      <w:proofErr w:type="spellEnd"/>
      <w:r>
        <w:rPr>
          <w:rFonts w:ascii="Garamond" w:eastAsia="Garamond" w:hAnsi="Garamond" w:cs="Garamond"/>
          <w:i/>
        </w:rPr>
        <w:t xml:space="preserve"> </w:t>
      </w:r>
      <w:r>
        <w:rPr>
          <w:rFonts w:ascii="Garamond" w:eastAsia="Garamond" w:hAnsi="Garamond" w:cs="Garamond"/>
          <w:i/>
          <w:highlight w:val="white"/>
        </w:rPr>
        <w:t xml:space="preserve">Badan </w:t>
      </w:r>
      <w:proofErr w:type="spellStart"/>
      <w:r>
        <w:rPr>
          <w:rFonts w:ascii="Garamond" w:eastAsia="Garamond" w:hAnsi="Garamond" w:cs="Garamond"/>
          <w:i/>
          <w:highlight w:val="white"/>
        </w:rPr>
        <w:t>Pengawas</w:t>
      </w:r>
      <w:proofErr w:type="spellEnd"/>
      <w:r>
        <w:rPr>
          <w:rFonts w:ascii="Garamond" w:eastAsia="Garamond" w:hAnsi="Garamond" w:cs="Garamond"/>
          <w:i/>
          <w:highlight w:val="white"/>
        </w:rPr>
        <w:t xml:space="preserve"> </w:t>
      </w:r>
      <w:proofErr w:type="spellStart"/>
      <w:r>
        <w:rPr>
          <w:rFonts w:ascii="Garamond" w:eastAsia="Garamond" w:hAnsi="Garamond" w:cs="Garamond"/>
          <w:i/>
          <w:highlight w:val="white"/>
        </w:rPr>
        <w:t>Perdagangan</w:t>
      </w:r>
      <w:proofErr w:type="spellEnd"/>
      <w:r>
        <w:rPr>
          <w:rFonts w:ascii="Garamond" w:eastAsia="Garamond" w:hAnsi="Garamond" w:cs="Garamond"/>
          <w:i/>
          <w:highlight w:val="white"/>
        </w:rPr>
        <w:t xml:space="preserve"> </w:t>
      </w:r>
      <w:proofErr w:type="spellStart"/>
      <w:r>
        <w:rPr>
          <w:rFonts w:ascii="Garamond" w:eastAsia="Garamond" w:hAnsi="Garamond" w:cs="Garamond"/>
          <w:i/>
          <w:highlight w:val="white"/>
        </w:rPr>
        <w:t>Berjangka</w:t>
      </w:r>
      <w:proofErr w:type="spellEnd"/>
      <w:r>
        <w:rPr>
          <w:rFonts w:ascii="Garamond" w:eastAsia="Garamond" w:hAnsi="Garamond" w:cs="Garamond"/>
          <w:i/>
          <w:highlight w:val="white"/>
        </w:rPr>
        <w:t xml:space="preserve"> </w:t>
      </w:r>
      <w:proofErr w:type="spellStart"/>
      <w:r>
        <w:rPr>
          <w:rFonts w:ascii="Garamond" w:eastAsia="Garamond" w:hAnsi="Garamond" w:cs="Garamond"/>
          <w:i/>
          <w:highlight w:val="white"/>
        </w:rPr>
        <w:t>Komoditi</w:t>
      </w:r>
      <w:proofErr w:type="spellEnd"/>
      <w:r>
        <w:rPr>
          <w:rFonts w:ascii="Garamond" w:eastAsia="Garamond" w:hAnsi="Garamond" w:cs="Garamond"/>
          <w:highlight w:val="white"/>
        </w:rPr>
        <w:t xml:space="preserve"> (BAPPEBTI): Indonesia’s Commodity Futures Trading Regulatory Agency Regulation</w:t>
      </w:r>
    </w:p>
    <w:p w14:paraId="0481C52B" w14:textId="5A169761" w:rsidR="0017585F" w:rsidRPr="0017585F" w:rsidRDefault="0017585F">
      <w:pPr>
        <w:numPr>
          <w:ilvl w:val="0"/>
          <w:numId w:val="2"/>
        </w:numPr>
        <w:spacing w:after="0" w:line="240" w:lineRule="auto"/>
        <w:rPr>
          <w:rFonts w:ascii="Garamond" w:eastAsia="Garamond" w:hAnsi="Garamond" w:cs="Garamond"/>
        </w:rPr>
      </w:pPr>
      <w:proofErr w:type="spellStart"/>
      <w:r w:rsidRPr="0017585F">
        <w:rPr>
          <w:rFonts w:ascii="Garamond" w:eastAsia="Garamond" w:hAnsi="Garamond" w:cs="Garamond"/>
          <w:i/>
        </w:rPr>
        <w:t>Peraturan</w:t>
      </w:r>
      <w:proofErr w:type="spellEnd"/>
      <w:r w:rsidRPr="0017585F">
        <w:rPr>
          <w:rFonts w:ascii="Garamond" w:eastAsia="Garamond" w:hAnsi="Garamond" w:cs="Garamond"/>
          <w:i/>
        </w:rPr>
        <w:t xml:space="preserve"> Lembaga </w:t>
      </w:r>
      <w:proofErr w:type="spellStart"/>
      <w:r w:rsidRPr="0017585F">
        <w:rPr>
          <w:rFonts w:ascii="Garamond" w:eastAsia="Garamond" w:hAnsi="Garamond" w:cs="Garamond"/>
          <w:i/>
        </w:rPr>
        <w:t>Penjamin</w:t>
      </w:r>
      <w:proofErr w:type="spellEnd"/>
      <w:r w:rsidRPr="0017585F">
        <w:rPr>
          <w:rFonts w:ascii="Garamond" w:eastAsia="Garamond" w:hAnsi="Garamond" w:cs="Garamond"/>
          <w:i/>
        </w:rPr>
        <w:t xml:space="preserve"> </w:t>
      </w:r>
      <w:proofErr w:type="spellStart"/>
      <w:r w:rsidRPr="0017585F">
        <w:rPr>
          <w:rFonts w:ascii="Garamond" w:eastAsia="Garamond" w:hAnsi="Garamond" w:cs="Garamond"/>
          <w:i/>
        </w:rPr>
        <w:t>Simpanan</w:t>
      </w:r>
      <w:proofErr w:type="spellEnd"/>
      <w:r w:rsidRPr="0017585F">
        <w:rPr>
          <w:rFonts w:ascii="Garamond" w:eastAsia="Garamond" w:hAnsi="Garamond" w:cs="Garamond"/>
          <w:i/>
        </w:rPr>
        <w:t xml:space="preserve"> </w:t>
      </w:r>
      <w:r w:rsidRPr="0017585F">
        <w:rPr>
          <w:rFonts w:ascii="Garamond" w:eastAsia="Garamond" w:hAnsi="Garamond" w:cs="Garamond"/>
          <w:iCs/>
        </w:rPr>
        <w:t xml:space="preserve">(PLPS): Indonesian </w:t>
      </w:r>
      <w:r w:rsidRPr="0017585F">
        <w:rPr>
          <w:rFonts w:ascii="Garamond" w:hAnsi="Garamond" w:cs="Times New Roman"/>
        </w:rPr>
        <w:t>Deposit Insurance Corporation</w:t>
      </w:r>
      <w:r>
        <w:rPr>
          <w:rFonts w:ascii="Garamond" w:hAnsi="Garamond" w:cs="Times New Roman"/>
        </w:rPr>
        <w:t xml:space="preserve"> (IDIC) Regulation</w:t>
      </w:r>
    </w:p>
    <w:p w14:paraId="1540DAD4" w14:textId="77777777" w:rsidR="00263B8D" w:rsidRDefault="00263B8D">
      <w:pPr>
        <w:spacing w:after="0" w:line="240" w:lineRule="auto"/>
        <w:rPr>
          <w:rFonts w:ascii="Garamond" w:eastAsia="Garamond" w:hAnsi="Garamond" w:cs="Garamond"/>
          <w:b/>
        </w:rPr>
      </w:pPr>
    </w:p>
    <w:tbl>
      <w:tblPr>
        <w:tblStyle w:val="a1"/>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7170"/>
      </w:tblGrid>
      <w:tr w:rsidR="00263B8D" w14:paraId="601EC4CD" w14:textId="77777777">
        <w:tc>
          <w:tcPr>
            <w:tcW w:w="1830" w:type="dxa"/>
            <w:tcMar>
              <w:top w:w="100" w:type="dxa"/>
              <w:left w:w="100" w:type="dxa"/>
              <w:bottom w:w="100" w:type="dxa"/>
              <w:right w:w="100" w:type="dxa"/>
            </w:tcMar>
          </w:tcPr>
          <w:p w14:paraId="7417B0B5"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Footnote</w:t>
            </w:r>
          </w:p>
        </w:tc>
        <w:tc>
          <w:tcPr>
            <w:tcW w:w="7170" w:type="dxa"/>
            <w:tcMar>
              <w:top w:w="100" w:type="dxa"/>
              <w:left w:w="100" w:type="dxa"/>
              <w:bottom w:w="100" w:type="dxa"/>
              <w:right w:w="100" w:type="dxa"/>
            </w:tcMar>
          </w:tcPr>
          <w:p w14:paraId="4BE30AB6"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vertAlign w:val="superscript"/>
              </w:rPr>
              <w:t>1</w:t>
            </w:r>
            <w:r>
              <w:rPr>
                <w:rFonts w:ascii="Garamond" w:eastAsia="Garamond" w:hAnsi="Garamond" w:cs="Garamond"/>
              </w:rPr>
              <w:t xml:space="preserve"> Indonesia, Bank Indonesia Regulation No. 23/11/PBI/2021 on National Standard of Payment System (hereinafter PBI 23/2021), Art. 4.</w:t>
            </w:r>
          </w:p>
        </w:tc>
      </w:tr>
      <w:tr w:rsidR="00263B8D" w14:paraId="38F95F44" w14:textId="77777777">
        <w:tc>
          <w:tcPr>
            <w:tcW w:w="1830" w:type="dxa"/>
            <w:tcMar>
              <w:top w:w="100" w:type="dxa"/>
              <w:left w:w="100" w:type="dxa"/>
              <w:bottom w:w="100" w:type="dxa"/>
              <w:right w:w="100" w:type="dxa"/>
            </w:tcMar>
          </w:tcPr>
          <w:p w14:paraId="1770E0C4"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Cross-reference</w:t>
            </w:r>
          </w:p>
        </w:tc>
        <w:tc>
          <w:tcPr>
            <w:tcW w:w="7170" w:type="dxa"/>
            <w:tcMar>
              <w:top w:w="100" w:type="dxa"/>
              <w:left w:w="100" w:type="dxa"/>
              <w:bottom w:w="100" w:type="dxa"/>
              <w:right w:w="100" w:type="dxa"/>
            </w:tcMar>
          </w:tcPr>
          <w:p w14:paraId="606B6F15"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vertAlign w:val="superscript"/>
              </w:rPr>
              <w:t>2</w:t>
            </w:r>
            <w:r>
              <w:rPr>
                <w:rFonts w:ascii="Garamond" w:eastAsia="Garamond" w:hAnsi="Garamond" w:cs="Garamond"/>
              </w:rPr>
              <w:t xml:space="preserve"> Ibid., Art. 12.</w:t>
            </w:r>
          </w:p>
          <w:p w14:paraId="14915518"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w:t>
            </w:r>
          </w:p>
          <w:p w14:paraId="267A32BE"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vertAlign w:val="superscript"/>
              </w:rPr>
              <w:t>6</w:t>
            </w:r>
            <w:r>
              <w:rPr>
                <w:rFonts w:ascii="Garamond" w:eastAsia="Garamond" w:hAnsi="Garamond" w:cs="Garamond"/>
              </w:rPr>
              <w:t xml:space="preserve"> PBI 23/2021, Art. 13.</w:t>
            </w:r>
          </w:p>
        </w:tc>
      </w:tr>
      <w:tr w:rsidR="00263B8D" w14:paraId="0C0093D4" w14:textId="77777777">
        <w:tc>
          <w:tcPr>
            <w:tcW w:w="1830" w:type="dxa"/>
            <w:tcMar>
              <w:top w:w="100" w:type="dxa"/>
              <w:left w:w="100" w:type="dxa"/>
              <w:bottom w:w="100" w:type="dxa"/>
              <w:right w:w="100" w:type="dxa"/>
            </w:tcMar>
          </w:tcPr>
          <w:p w14:paraId="51C88F0A"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Bibliography</w:t>
            </w:r>
          </w:p>
        </w:tc>
        <w:tc>
          <w:tcPr>
            <w:tcW w:w="7170" w:type="dxa"/>
            <w:tcMar>
              <w:top w:w="100" w:type="dxa"/>
              <w:left w:w="100" w:type="dxa"/>
              <w:bottom w:w="100" w:type="dxa"/>
              <w:right w:w="100" w:type="dxa"/>
            </w:tcMar>
          </w:tcPr>
          <w:p w14:paraId="16245C96"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Indonesia, Bank Indonesia Regulation No. 23/11/PBI/2021 on National Standard of Payment System</w:t>
            </w:r>
          </w:p>
        </w:tc>
      </w:tr>
    </w:tbl>
    <w:p w14:paraId="0D33DB60" w14:textId="77777777" w:rsidR="00263B8D" w:rsidRDefault="00263B8D">
      <w:pPr>
        <w:spacing w:after="0" w:line="240" w:lineRule="auto"/>
        <w:rPr>
          <w:rFonts w:ascii="Garamond" w:eastAsia="Garamond" w:hAnsi="Garamond" w:cs="Garamond"/>
        </w:rPr>
      </w:pPr>
    </w:p>
    <w:p w14:paraId="19739D90" w14:textId="77777777" w:rsidR="00263B8D" w:rsidRDefault="00263B8D">
      <w:pPr>
        <w:spacing w:after="0" w:line="240" w:lineRule="auto"/>
        <w:rPr>
          <w:rFonts w:ascii="Garamond" w:eastAsia="Garamond" w:hAnsi="Garamond" w:cs="Garamond"/>
          <w:b/>
        </w:rPr>
      </w:pPr>
    </w:p>
    <w:tbl>
      <w:tblPr>
        <w:tblStyle w:val="a2"/>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7170"/>
      </w:tblGrid>
      <w:tr w:rsidR="00263B8D" w14:paraId="58CB3145" w14:textId="77777777">
        <w:tc>
          <w:tcPr>
            <w:tcW w:w="1830" w:type="dxa"/>
            <w:tcMar>
              <w:top w:w="100" w:type="dxa"/>
              <w:left w:w="100" w:type="dxa"/>
              <w:bottom w:w="100" w:type="dxa"/>
              <w:right w:w="100" w:type="dxa"/>
            </w:tcMar>
          </w:tcPr>
          <w:p w14:paraId="03704CD2"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Footnote</w:t>
            </w:r>
          </w:p>
        </w:tc>
        <w:tc>
          <w:tcPr>
            <w:tcW w:w="7170" w:type="dxa"/>
            <w:tcMar>
              <w:top w:w="100" w:type="dxa"/>
              <w:left w:w="100" w:type="dxa"/>
              <w:bottom w:w="100" w:type="dxa"/>
              <w:right w:w="100" w:type="dxa"/>
            </w:tcMar>
          </w:tcPr>
          <w:p w14:paraId="063FCDEA"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vertAlign w:val="superscript"/>
              </w:rPr>
              <w:t>1</w:t>
            </w:r>
            <w:r>
              <w:rPr>
                <w:rFonts w:ascii="Garamond" w:eastAsia="Garamond" w:hAnsi="Garamond" w:cs="Garamond"/>
              </w:rPr>
              <w:t xml:space="preserve"> Indonesia, Financial Service Authority Regulation No. 12/POJK.03/2021 on Conventional Bank (hereinafter POJK 12/2021), Art. 4.</w:t>
            </w:r>
          </w:p>
        </w:tc>
      </w:tr>
      <w:tr w:rsidR="00263B8D" w14:paraId="7FD6570C" w14:textId="77777777">
        <w:tc>
          <w:tcPr>
            <w:tcW w:w="1830" w:type="dxa"/>
            <w:tcMar>
              <w:top w:w="100" w:type="dxa"/>
              <w:left w:w="100" w:type="dxa"/>
              <w:bottom w:w="100" w:type="dxa"/>
              <w:right w:w="100" w:type="dxa"/>
            </w:tcMar>
          </w:tcPr>
          <w:p w14:paraId="062E04CD"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Cross-reference</w:t>
            </w:r>
          </w:p>
        </w:tc>
        <w:tc>
          <w:tcPr>
            <w:tcW w:w="7170" w:type="dxa"/>
            <w:tcMar>
              <w:top w:w="100" w:type="dxa"/>
              <w:left w:w="100" w:type="dxa"/>
              <w:bottom w:w="100" w:type="dxa"/>
              <w:right w:w="100" w:type="dxa"/>
            </w:tcMar>
          </w:tcPr>
          <w:p w14:paraId="2E7AF30E"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vertAlign w:val="superscript"/>
              </w:rPr>
              <w:t>2</w:t>
            </w:r>
            <w:r>
              <w:rPr>
                <w:rFonts w:ascii="Garamond" w:eastAsia="Garamond" w:hAnsi="Garamond" w:cs="Garamond"/>
              </w:rPr>
              <w:t xml:space="preserve"> Ibid., Art. 12.</w:t>
            </w:r>
          </w:p>
          <w:p w14:paraId="3DCB3DF9"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w:t>
            </w:r>
          </w:p>
          <w:p w14:paraId="391543C9"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vertAlign w:val="superscript"/>
              </w:rPr>
              <w:t>6</w:t>
            </w:r>
            <w:r>
              <w:rPr>
                <w:rFonts w:ascii="Garamond" w:eastAsia="Garamond" w:hAnsi="Garamond" w:cs="Garamond"/>
              </w:rPr>
              <w:t xml:space="preserve"> POJK 12/2021, Art. 13.</w:t>
            </w:r>
          </w:p>
        </w:tc>
      </w:tr>
      <w:tr w:rsidR="00263B8D" w14:paraId="22B87E1B" w14:textId="77777777">
        <w:tc>
          <w:tcPr>
            <w:tcW w:w="1830" w:type="dxa"/>
            <w:tcMar>
              <w:top w:w="100" w:type="dxa"/>
              <w:left w:w="100" w:type="dxa"/>
              <w:bottom w:w="100" w:type="dxa"/>
              <w:right w:w="100" w:type="dxa"/>
            </w:tcMar>
          </w:tcPr>
          <w:p w14:paraId="5CD6702D"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Bibliography</w:t>
            </w:r>
          </w:p>
        </w:tc>
        <w:tc>
          <w:tcPr>
            <w:tcW w:w="7170" w:type="dxa"/>
            <w:tcMar>
              <w:top w:w="100" w:type="dxa"/>
              <w:left w:w="100" w:type="dxa"/>
              <w:bottom w:w="100" w:type="dxa"/>
              <w:right w:w="100" w:type="dxa"/>
            </w:tcMar>
          </w:tcPr>
          <w:p w14:paraId="299A6243" w14:textId="77777777" w:rsidR="00263B8D" w:rsidRDefault="00000000">
            <w:pPr>
              <w:widowControl w:val="0"/>
              <w:spacing w:after="0" w:line="240" w:lineRule="auto"/>
              <w:rPr>
                <w:rFonts w:ascii="Garamond" w:eastAsia="Garamond" w:hAnsi="Garamond" w:cs="Garamond"/>
              </w:rPr>
            </w:pPr>
            <w:r>
              <w:rPr>
                <w:rFonts w:ascii="Garamond" w:eastAsia="Garamond" w:hAnsi="Garamond" w:cs="Garamond"/>
              </w:rPr>
              <w:t>Indonesia, Financial Service Authority Regulation No. 12/POJK.03/2021 on Conventional Bank</w:t>
            </w:r>
          </w:p>
        </w:tc>
      </w:tr>
    </w:tbl>
    <w:p w14:paraId="1ACA9C84" w14:textId="77777777" w:rsidR="00263B8D" w:rsidRDefault="00263B8D">
      <w:pPr>
        <w:spacing w:after="0" w:line="240" w:lineRule="auto"/>
        <w:rPr>
          <w:rFonts w:ascii="Garamond" w:eastAsia="Garamond" w:hAnsi="Garamond" w:cs="Garamond"/>
        </w:rPr>
      </w:pPr>
    </w:p>
    <w:p w14:paraId="69E32B19" w14:textId="77777777" w:rsidR="00263B8D" w:rsidRDefault="00263B8D">
      <w:pPr>
        <w:spacing w:after="0" w:line="240" w:lineRule="auto"/>
        <w:rPr>
          <w:rFonts w:ascii="Garamond" w:eastAsia="Garamond" w:hAnsi="Garamond" w:cs="Garamond"/>
          <w:b/>
        </w:rPr>
      </w:pPr>
    </w:p>
    <w:tbl>
      <w:tblPr>
        <w:tblStyle w:val="a3"/>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7170"/>
      </w:tblGrid>
      <w:tr w:rsidR="00263B8D" w:rsidRPr="0017585F" w14:paraId="27B04AB0" w14:textId="77777777">
        <w:tc>
          <w:tcPr>
            <w:tcW w:w="1830" w:type="dxa"/>
            <w:tcMar>
              <w:top w:w="100" w:type="dxa"/>
              <w:left w:w="100" w:type="dxa"/>
              <w:bottom w:w="100" w:type="dxa"/>
              <w:right w:w="100" w:type="dxa"/>
            </w:tcMar>
          </w:tcPr>
          <w:p w14:paraId="4AF9524C"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rPr>
              <w:t>Footnote</w:t>
            </w:r>
          </w:p>
        </w:tc>
        <w:tc>
          <w:tcPr>
            <w:tcW w:w="7170" w:type="dxa"/>
            <w:tcMar>
              <w:top w:w="100" w:type="dxa"/>
              <w:left w:w="100" w:type="dxa"/>
              <w:bottom w:w="100" w:type="dxa"/>
              <w:right w:w="100" w:type="dxa"/>
            </w:tcMar>
          </w:tcPr>
          <w:p w14:paraId="59D6FCE2"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vertAlign w:val="superscript"/>
              </w:rPr>
              <w:t>1</w:t>
            </w:r>
            <w:r w:rsidRPr="0017585F">
              <w:rPr>
                <w:rFonts w:ascii="Garamond" w:eastAsia="Garamond" w:hAnsi="Garamond" w:cs="Garamond"/>
              </w:rPr>
              <w:t xml:space="preserve"> Indonesia, </w:t>
            </w:r>
            <w:r w:rsidRPr="0017585F">
              <w:rPr>
                <w:rFonts w:ascii="Garamond" w:eastAsia="Garamond" w:hAnsi="Garamond" w:cs="Garamond"/>
                <w:highlight w:val="white"/>
              </w:rPr>
              <w:t>Commodity Futures Trading Regulatory Agency Regulation</w:t>
            </w:r>
            <w:r w:rsidRPr="0017585F">
              <w:rPr>
                <w:rFonts w:ascii="Garamond" w:eastAsia="Garamond" w:hAnsi="Garamond" w:cs="Garamond"/>
              </w:rPr>
              <w:t xml:space="preserve"> No. 8 of 2021 on Technical Terms of Physical Market for Crypto-Assets in Futures Exchange (hereinafter BAPPEBTI Regulation 8/2021), Art. 4.</w:t>
            </w:r>
          </w:p>
        </w:tc>
      </w:tr>
      <w:tr w:rsidR="00263B8D" w:rsidRPr="0017585F" w14:paraId="60315CB2" w14:textId="77777777">
        <w:tc>
          <w:tcPr>
            <w:tcW w:w="1830" w:type="dxa"/>
            <w:tcMar>
              <w:top w:w="100" w:type="dxa"/>
              <w:left w:w="100" w:type="dxa"/>
              <w:bottom w:w="100" w:type="dxa"/>
              <w:right w:w="100" w:type="dxa"/>
            </w:tcMar>
          </w:tcPr>
          <w:p w14:paraId="312DFA96"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rPr>
              <w:t>Cross-reference</w:t>
            </w:r>
          </w:p>
        </w:tc>
        <w:tc>
          <w:tcPr>
            <w:tcW w:w="7170" w:type="dxa"/>
            <w:tcMar>
              <w:top w:w="100" w:type="dxa"/>
              <w:left w:w="100" w:type="dxa"/>
              <w:bottom w:w="100" w:type="dxa"/>
              <w:right w:w="100" w:type="dxa"/>
            </w:tcMar>
          </w:tcPr>
          <w:p w14:paraId="4BF30C41"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vertAlign w:val="superscript"/>
              </w:rPr>
              <w:t>2</w:t>
            </w:r>
            <w:r w:rsidRPr="0017585F">
              <w:rPr>
                <w:rFonts w:ascii="Garamond" w:eastAsia="Garamond" w:hAnsi="Garamond" w:cs="Garamond"/>
              </w:rPr>
              <w:t xml:space="preserve"> Ibid., Art. 12.</w:t>
            </w:r>
          </w:p>
          <w:p w14:paraId="462A098E"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rPr>
              <w:t>…</w:t>
            </w:r>
          </w:p>
          <w:p w14:paraId="55BD74A9"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vertAlign w:val="superscript"/>
              </w:rPr>
              <w:t>6</w:t>
            </w:r>
            <w:r w:rsidRPr="0017585F">
              <w:rPr>
                <w:rFonts w:ascii="Garamond" w:eastAsia="Garamond" w:hAnsi="Garamond" w:cs="Garamond"/>
              </w:rPr>
              <w:t xml:space="preserve"> BAPPEBTI Regulation 8/2021, Art. 13.</w:t>
            </w:r>
          </w:p>
        </w:tc>
      </w:tr>
      <w:tr w:rsidR="00263B8D" w:rsidRPr="0017585F" w14:paraId="7BAAA0CB" w14:textId="77777777">
        <w:tc>
          <w:tcPr>
            <w:tcW w:w="1830" w:type="dxa"/>
            <w:tcMar>
              <w:top w:w="100" w:type="dxa"/>
              <w:left w:w="100" w:type="dxa"/>
              <w:bottom w:w="100" w:type="dxa"/>
              <w:right w:w="100" w:type="dxa"/>
            </w:tcMar>
          </w:tcPr>
          <w:p w14:paraId="60BE08AE"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rPr>
              <w:lastRenderedPageBreak/>
              <w:t>Bibliography</w:t>
            </w:r>
          </w:p>
        </w:tc>
        <w:tc>
          <w:tcPr>
            <w:tcW w:w="7170" w:type="dxa"/>
            <w:tcMar>
              <w:top w:w="100" w:type="dxa"/>
              <w:left w:w="100" w:type="dxa"/>
              <w:bottom w:w="100" w:type="dxa"/>
              <w:right w:w="100" w:type="dxa"/>
            </w:tcMar>
          </w:tcPr>
          <w:p w14:paraId="755FEA40" w14:textId="77777777" w:rsidR="00263B8D" w:rsidRPr="0017585F" w:rsidRDefault="00000000">
            <w:pPr>
              <w:widowControl w:val="0"/>
              <w:spacing w:after="0" w:line="240" w:lineRule="auto"/>
              <w:rPr>
                <w:rFonts w:ascii="Garamond" w:eastAsia="Garamond" w:hAnsi="Garamond" w:cs="Garamond"/>
              </w:rPr>
            </w:pPr>
            <w:r w:rsidRPr="0017585F">
              <w:rPr>
                <w:rFonts w:ascii="Garamond" w:eastAsia="Garamond" w:hAnsi="Garamond" w:cs="Garamond"/>
              </w:rPr>
              <w:t xml:space="preserve">Indonesia, </w:t>
            </w:r>
            <w:r w:rsidRPr="0017585F">
              <w:rPr>
                <w:rFonts w:ascii="Garamond" w:eastAsia="Garamond" w:hAnsi="Garamond" w:cs="Garamond"/>
                <w:highlight w:val="white"/>
              </w:rPr>
              <w:t>Commodity Futures Trading Regulatory Agency Regulation</w:t>
            </w:r>
            <w:r w:rsidRPr="0017585F">
              <w:rPr>
                <w:rFonts w:ascii="Garamond" w:eastAsia="Garamond" w:hAnsi="Garamond" w:cs="Garamond"/>
              </w:rPr>
              <w:t xml:space="preserve"> No. 8 of 2021 on Technical Terms of Physical Market for Crypto-Assets in Futures Exchange</w:t>
            </w:r>
          </w:p>
        </w:tc>
      </w:tr>
    </w:tbl>
    <w:p w14:paraId="5BE77C36" w14:textId="77777777" w:rsidR="00263B8D" w:rsidRDefault="00263B8D">
      <w:pPr>
        <w:spacing w:after="0" w:line="240" w:lineRule="auto"/>
        <w:rPr>
          <w:rFonts w:ascii="Garamond" w:eastAsia="Garamond" w:hAnsi="Garamond" w:cs="Garamond"/>
        </w:rPr>
      </w:pPr>
    </w:p>
    <w:p w14:paraId="5A95162E" w14:textId="77777777" w:rsidR="00263B8D" w:rsidRDefault="00263B8D">
      <w:pPr>
        <w:spacing w:after="0" w:line="240" w:lineRule="auto"/>
        <w:rPr>
          <w:rFonts w:ascii="Garamond" w:eastAsia="Garamond" w:hAnsi="Garamond" w:cs="Garamond"/>
        </w:rPr>
      </w:pPr>
    </w:p>
    <w:tbl>
      <w:tblPr>
        <w:tblStyle w:val="a3"/>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7170"/>
      </w:tblGrid>
      <w:tr w:rsidR="0017585F" w:rsidRPr="0017585F" w14:paraId="0981E8DB" w14:textId="77777777" w:rsidTr="00B540F4">
        <w:tc>
          <w:tcPr>
            <w:tcW w:w="1830" w:type="dxa"/>
            <w:tcMar>
              <w:top w:w="100" w:type="dxa"/>
              <w:left w:w="100" w:type="dxa"/>
              <w:bottom w:w="100" w:type="dxa"/>
              <w:right w:w="100" w:type="dxa"/>
            </w:tcMar>
          </w:tcPr>
          <w:p w14:paraId="5A4910AF" w14:textId="77777777"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rPr>
              <w:t>Footnote</w:t>
            </w:r>
          </w:p>
        </w:tc>
        <w:tc>
          <w:tcPr>
            <w:tcW w:w="7170" w:type="dxa"/>
            <w:tcMar>
              <w:top w:w="100" w:type="dxa"/>
              <w:left w:w="100" w:type="dxa"/>
              <w:bottom w:w="100" w:type="dxa"/>
              <w:right w:w="100" w:type="dxa"/>
            </w:tcMar>
          </w:tcPr>
          <w:p w14:paraId="4011E4C3" w14:textId="29ED24DC"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vertAlign w:val="superscript"/>
              </w:rPr>
              <w:t>1</w:t>
            </w:r>
            <w:r w:rsidRPr="0017585F">
              <w:rPr>
                <w:rFonts w:ascii="Garamond" w:eastAsia="Garamond" w:hAnsi="Garamond" w:cs="Garamond"/>
              </w:rPr>
              <w:t xml:space="preserve"> Indonesia, </w:t>
            </w:r>
            <w:r w:rsidRPr="0017585F">
              <w:rPr>
                <w:rFonts w:ascii="Garamond" w:eastAsia="Garamond" w:hAnsi="Garamond" w:cs="Garamond"/>
                <w:iCs/>
              </w:rPr>
              <w:t xml:space="preserve">Indonesian </w:t>
            </w:r>
            <w:r w:rsidRPr="0017585F">
              <w:rPr>
                <w:rFonts w:ascii="Garamond" w:hAnsi="Garamond" w:cs="Times New Roman"/>
              </w:rPr>
              <w:t>Deposit Insurance Corporation</w:t>
            </w:r>
            <w:r w:rsidRPr="0017585F">
              <w:rPr>
                <w:rFonts w:ascii="Garamond" w:hAnsi="Garamond" w:cs="Open Sans"/>
                <w:color w:val="1F211E"/>
                <w:shd w:val="clear" w:color="auto" w:fill="FFFFFF"/>
              </w:rPr>
              <w:t xml:space="preserve"> Regulation Number 2/PLPS/2010 on Deposit Insurance Program</w:t>
            </w:r>
            <w:r w:rsidRPr="0017585F">
              <w:rPr>
                <w:rFonts w:ascii="Garamond" w:eastAsia="Garamond" w:hAnsi="Garamond" w:cs="Garamond"/>
              </w:rPr>
              <w:t xml:space="preserve"> (hereinafter </w:t>
            </w:r>
            <w:r>
              <w:rPr>
                <w:rFonts w:ascii="Garamond" w:eastAsia="Garamond" w:hAnsi="Garamond" w:cs="Garamond"/>
              </w:rPr>
              <w:t>IDIC</w:t>
            </w:r>
            <w:r w:rsidRPr="0017585F">
              <w:rPr>
                <w:rFonts w:ascii="Garamond" w:eastAsia="Garamond" w:hAnsi="Garamond" w:cs="Garamond"/>
              </w:rPr>
              <w:t xml:space="preserve"> Regulation </w:t>
            </w:r>
            <w:r>
              <w:rPr>
                <w:rFonts w:ascii="Garamond" w:eastAsia="Garamond" w:hAnsi="Garamond" w:cs="Garamond"/>
              </w:rPr>
              <w:t>2</w:t>
            </w:r>
            <w:r w:rsidRPr="0017585F">
              <w:rPr>
                <w:rFonts w:ascii="Garamond" w:eastAsia="Garamond" w:hAnsi="Garamond" w:cs="Garamond"/>
              </w:rPr>
              <w:t>/20</w:t>
            </w:r>
            <w:r>
              <w:rPr>
                <w:rFonts w:ascii="Garamond" w:eastAsia="Garamond" w:hAnsi="Garamond" w:cs="Garamond"/>
              </w:rPr>
              <w:t>10</w:t>
            </w:r>
            <w:r w:rsidRPr="0017585F">
              <w:rPr>
                <w:rFonts w:ascii="Garamond" w:eastAsia="Garamond" w:hAnsi="Garamond" w:cs="Garamond"/>
              </w:rPr>
              <w:t>), Art. 4.</w:t>
            </w:r>
          </w:p>
        </w:tc>
      </w:tr>
      <w:tr w:rsidR="0017585F" w:rsidRPr="0017585F" w14:paraId="3BDFE061" w14:textId="77777777" w:rsidTr="00B540F4">
        <w:tc>
          <w:tcPr>
            <w:tcW w:w="1830" w:type="dxa"/>
            <w:tcMar>
              <w:top w:w="100" w:type="dxa"/>
              <w:left w:w="100" w:type="dxa"/>
              <w:bottom w:w="100" w:type="dxa"/>
              <w:right w:w="100" w:type="dxa"/>
            </w:tcMar>
          </w:tcPr>
          <w:p w14:paraId="57CECF22" w14:textId="77777777"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rPr>
              <w:t>Cross-reference</w:t>
            </w:r>
          </w:p>
        </w:tc>
        <w:tc>
          <w:tcPr>
            <w:tcW w:w="7170" w:type="dxa"/>
            <w:tcMar>
              <w:top w:w="100" w:type="dxa"/>
              <w:left w:w="100" w:type="dxa"/>
              <w:bottom w:w="100" w:type="dxa"/>
              <w:right w:w="100" w:type="dxa"/>
            </w:tcMar>
          </w:tcPr>
          <w:p w14:paraId="33ED2052" w14:textId="77777777"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vertAlign w:val="superscript"/>
              </w:rPr>
              <w:t>2</w:t>
            </w:r>
            <w:r w:rsidRPr="0017585F">
              <w:rPr>
                <w:rFonts w:ascii="Garamond" w:eastAsia="Garamond" w:hAnsi="Garamond" w:cs="Garamond"/>
              </w:rPr>
              <w:t xml:space="preserve"> Ibid., Art. 12.</w:t>
            </w:r>
          </w:p>
          <w:p w14:paraId="2AFDC2E1" w14:textId="77777777"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rPr>
              <w:t>…</w:t>
            </w:r>
          </w:p>
          <w:p w14:paraId="642A0A74" w14:textId="71CB42C7"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vertAlign w:val="superscript"/>
              </w:rPr>
              <w:t>6</w:t>
            </w:r>
            <w:r w:rsidRPr="0017585F">
              <w:rPr>
                <w:rFonts w:ascii="Garamond" w:eastAsia="Garamond" w:hAnsi="Garamond" w:cs="Garamond"/>
              </w:rPr>
              <w:t xml:space="preserve"> </w:t>
            </w:r>
            <w:r>
              <w:rPr>
                <w:rFonts w:ascii="Garamond" w:eastAsia="Garamond" w:hAnsi="Garamond" w:cs="Garamond"/>
              </w:rPr>
              <w:t>IDIC</w:t>
            </w:r>
            <w:r w:rsidRPr="0017585F">
              <w:rPr>
                <w:rFonts w:ascii="Garamond" w:eastAsia="Garamond" w:hAnsi="Garamond" w:cs="Garamond"/>
              </w:rPr>
              <w:t xml:space="preserve"> Regulation </w:t>
            </w:r>
            <w:r>
              <w:rPr>
                <w:rFonts w:ascii="Garamond" w:eastAsia="Garamond" w:hAnsi="Garamond" w:cs="Garamond"/>
              </w:rPr>
              <w:t>2</w:t>
            </w:r>
            <w:r w:rsidRPr="0017585F">
              <w:rPr>
                <w:rFonts w:ascii="Garamond" w:eastAsia="Garamond" w:hAnsi="Garamond" w:cs="Garamond"/>
              </w:rPr>
              <w:t>/20</w:t>
            </w:r>
            <w:r>
              <w:rPr>
                <w:rFonts w:ascii="Garamond" w:eastAsia="Garamond" w:hAnsi="Garamond" w:cs="Garamond"/>
              </w:rPr>
              <w:t>10</w:t>
            </w:r>
            <w:r w:rsidRPr="0017585F">
              <w:rPr>
                <w:rFonts w:ascii="Garamond" w:eastAsia="Garamond" w:hAnsi="Garamond" w:cs="Garamond"/>
              </w:rPr>
              <w:t>, Art. 13.</w:t>
            </w:r>
          </w:p>
        </w:tc>
      </w:tr>
      <w:tr w:rsidR="0017585F" w:rsidRPr="0017585F" w14:paraId="0A63AFFF" w14:textId="77777777" w:rsidTr="00B540F4">
        <w:tc>
          <w:tcPr>
            <w:tcW w:w="1830" w:type="dxa"/>
            <w:tcMar>
              <w:top w:w="100" w:type="dxa"/>
              <w:left w:w="100" w:type="dxa"/>
              <w:bottom w:w="100" w:type="dxa"/>
              <w:right w:w="100" w:type="dxa"/>
            </w:tcMar>
          </w:tcPr>
          <w:p w14:paraId="16AFB3B8" w14:textId="77777777"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rPr>
              <w:t>Bibliography</w:t>
            </w:r>
          </w:p>
        </w:tc>
        <w:tc>
          <w:tcPr>
            <w:tcW w:w="7170" w:type="dxa"/>
            <w:tcMar>
              <w:top w:w="100" w:type="dxa"/>
              <w:left w:w="100" w:type="dxa"/>
              <w:bottom w:w="100" w:type="dxa"/>
              <w:right w:w="100" w:type="dxa"/>
            </w:tcMar>
          </w:tcPr>
          <w:p w14:paraId="6D8E6272" w14:textId="3BDBE044" w:rsidR="0017585F" w:rsidRPr="0017585F" w:rsidRDefault="0017585F" w:rsidP="00B540F4">
            <w:pPr>
              <w:widowControl w:val="0"/>
              <w:spacing w:after="0" w:line="240" w:lineRule="auto"/>
              <w:rPr>
                <w:rFonts w:ascii="Garamond" w:eastAsia="Garamond" w:hAnsi="Garamond" w:cs="Garamond"/>
              </w:rPr>
            </w:pPr>
            <w:r w:rsidRPr="0017585F">
              <w:rPr>
                <w:rFonts w:ascii="Garamond" w:eastAsia="Garamond" w:hAnsi="Garamond" w:cs="Garamond"/>
              </w:rPr>
              <w:t xml:space="preserve">Indonesia, </w:t>
            </w:r>
            <w:r w:rsidRPr="0017585F">
              <w:rPr>
                <w:rFonts w:ascii="Garamond" w:eastAsia="Garamond" w:hAnsi="Garamond" w:cs="Garamond"/>
                <w:iCs/>
              </w:rPr>
              <w:t xml:space="preserve">Indonesian </w:t>
            </w:r>
            <w:r w:rsidRPr="0017585F">
              <w:rPr>
                <w:rFonts w:ascii="Garamond" w:hAnsi="Garamond" w:cs="Times New Roman"/>
              </w:rPr>
              <w:t>Deposit Insurance Corporation</w:t>
            </w:r>
            <w:r w:rsidRPr="0017585F">
              <w:rPr>
                <w:rFonts w:ascii="Garamond" w:hAnsi="Garamond" w:cs="Open Sans"/>
                <w:color w:val="1F211E"/>
                <w:shd w:val="clear" w:color="auto" w:fill="FFFFFF"/>
              </w:rPr>
              <w:t xml:space="preserve"> Regulation Number 2/PLPS/2010 on Deposit Insurance Program</w:t>
            </w:r>
            <w:r>
              <w:rPr>
                <w:rFonts w:ascii="Garamond" w:hAnsi="Garamond" w:cs="Open Sans"/>
                <w:color w:val="1F211E"/>
                <w:shd w:val="clear" w:color="auto" w:fill="FFFFFF"/>
              </w:rPr>
              <w:t>.</w:t>
            </w:r>
          </w:p>
        </w:tc>
      </w:tr>
    </w:tbl>
    <w:p w14:paraId="2D9F7B47" w14:textId="77777777" w:rsidR="0017585F" w:rsidRPr="0017585F" w:rsidRDefault="0017585F">
      <w:pPr>
        <w:spacing w:after="0" w:line="240" w:lineRule="auto"/>
        <w:rPr>
          <w:rFonts w:ascii="Garamond" w:eastAsia="Garamond" w:hAnsi="Garamond" w:cs="Garamond"/>
          <w:b/>
          <w:bCs/>
        </w:rPr>
      </w:pPr>
    </w:p>
    <w:sectPr w:rsidR="0017585F" w:rsidRPr="0017585F">
      <w:headerReference w:type="even" r:id="rId9"/>
      <w:headerReference w:type="default" r:id="rId10"/>
      <w:footerReference w:type="even" r:id="rId11"/>
      <w:footerReference w:type="default" r:id="rId12"/>
      <w:headerReference w:type="first" r:id="rId13"/>
      <w:pgSz w:w="11906" w:h="16838"/>
      <w:pgMar w:top="1440" w:right="1440" w:bottom="1440" w:left="1440" w:header="25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805166" w14:textId="77777777" w:rsidR="00764B63" w:rsidRDefault="00764B63">
      <w:pPr>
        <w:spacing w:after="0" w:line="240" w:lineRule="auto"/>
      </w:pPr>
      <w:r>
        <w:separator/>
      </w:r>
    </w:p>
  </w:endnote>
  <w:endnote w:type="continuationSeparator" w:id="0">
    <w:p w14:paraId="29F2E715" w14:textId="77777777" w:rsidR="00764B63" w:rsidRDefault="00764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A24A6" w14:textId="77777777" w:rsidR="00263B8D"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477B6">
      <w:rPr>
        <w:noProof/>
        <w:color w:val="000000"/>
      </w:rPr>
      <w:t>2</w:t>
    </w:r>
    <w:r>
      <w:rPr>
        <w:color w:val="000000"/>
      </w:rPr>
      <w:fldChar w:fldCharType="end"/>
    </w:r>
  </w:p>
  <w:p w14:paraId="4EDCBE72" w14:textId="77777777" w:rsidR="00263B8D" w:rsidRDefault="00263B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F10DF" w14:textId="77777777" w:rsidR="00263B8D"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477B6">
      <w:rPr>
        <w:noProof/>
        <w:color w:val="000000"/>
      </w:rPr>
      <w:t>3</w:t>
    </w:r>
    <w:r>
      <w:rPr>
        <w:color w:val="000000"/>
      </w:rPr>
      <w:fldChar w:fldCharType="end"/>
    </w:r>
  </w:p>
  <w:p w14:paraId="1316F7C8" w14:textId="77777777" w:rsidR="00263B8D" w:rsidRDefault="00263B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FFC883" w14:textId="77777777" w:rsidR="00764B63" w:rsidRDefault="00764B63">
      <w:pPr>
        <w:spacing w:after="0" w:line="240" w:lineRule="auto"/>
      </w:pPr>
      <w:r>
        <w:separator/>
      </w:r>
    </w:p>
  </w:footnote>
  <w:footnote w:type="continuationSeparator" w:id="0">
    <w:p w14:paraId="14070BE1" w14:textId="77777777" w:rsidR="00764B63" w:rsidRDefault="00764B63">
      <w:pPr>
        <w:spacing w:after="0" w:line="240" w:lineRule="auto"/>
      </w:pPr>
      <w:r>
        <w:continuationSeparator/>
      </w:r>
    </w:p>
  </w:footnote>
  <w:footnote w:id="1">
    <w:p w14:paraId="2425CA5E"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Zadie Smith, </w:t>
      </w:r>
      <w:r>
        <w:rPr>
          <w:rFonts w:ascii="Garamond" w:eastAsia="Garamond" w:hAnsi="Garamond" w:cs="Garamond"/>
          <w:i/>
          <w:sz w:val="20"/>
          <w:szCs w:val="20"/>
        </w:rPr>
        <w:t>Swing Time</w:t>
      </w:r>
      <w:r>
        <w:rPr>
          <w:rFonts w:ascii="Garamond" w:eastAsia="Garamond" w:hAnsi="Garamond" w:cs="Garamond"/>
          <w:sz w:val="20"/>
          <w:szCs w:val="20"/>
        </w:rPr>
        <w:t> </w:t>
      </w:r>
      <w:r>
        <w:rPr>
          <w:rFonts w:ascii="Garamond" w:eastAsia="Garamond" w:hAnsi="Garamond" w:cs="Garamond"/>
          <w:sz w:val="20"/>
          <w:szCs w:val="20"/>
          <w:highlight w:val="white"/>
        </w:rPr>
        <w:t>(New York: Penguin Press, 2016), 315–16.</w:t>
      </w:r>
    </w:p>
  </w:footnote>
  <w:footnote w:id="2">
    <w:p w14:paraId="58D134C4"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Smith, </w:t>
      </w:r>
      <w:r>
        <w:rPr>
          <w:rFonts w:ascii="Garamond" w:eastAsia="Garamond" w:hAnsi="Garamond" w:cs="Garamond"/>
          <w:i/>
          <w:sz w:val="20"/>
          <w:szCs w:val="20"/>
        </w:rPr>
        <w:t>Swing Time</w:t>
      </w:r>
      <w:r>
        <w:rPr>
          <w:rFonts w:ascii="Garamond" w:eastAsia="Garamond" w:hAnsi="Garamond" w:cs="Garamond"/>
          <w:sz w:val="20"/>
          <w:szCs w:val="20"/>
          <w:highlight w:val="white"/>
        </w:rPr>
        <w:t>, 320.</w:t>
      </w:r>
    </w:p>
  </w:footnote>
  <w:footnote w:id="3">
    <w:p w14:paraId="6CE21B04"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Henry David Thoreau, “Walking,” in </w:t>
      </w:r>
      <w:r>
        <w:rPr>
          <w:rFonts w:ascii="Garamond" w:eastAsia="Garamond" w:hAnsi="Garamond" w:cs="Garamond"/>
          <w:i/>
          <w:sz w:val="20"/>
          <w:szCs w:val="20"/>
        </w:rPr>
        <w:t>The Making of the American Essay</w:t>
      </w:r>
      <w:r>
        <w:rPr>
          <w:rFonts w:ascii="Garamond" w:eastAsia="Garamond" w:hAnsi="Garamond" w:cs="Garamond"/>
          <w:sz w:val="20"/>
          <w:szCs w:val="20"/>
          <w:highlight w:val="white"/>
        </w:rPr>
        <w:t>, ed. John D’Agata (Minneapolis: Graywolf Press, 2016), 177–78.</w:t>
      </w:r>
    </w:p>
  </w:footnote>
  <w:footnote w:id="4">
    <w:p w14:paraId="39336429"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Thoreau, “Walking,” 182.</w:t>
      </w:r>
    </w:p>
  </w:footnote>
  <w:footnote w:id="5">
    <w:p w14:paraId="03964E8B"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 xml:space="preserve">Shao-Hsun Keng, Chun-Hung Lin, and Peter F. Orazem, “Expanding College Access in Taiwan, 1978–2014: Effects on Graduate Quality and Income Inequality,” </w:t>
      </w:r>
      <w:r>
        <w:rPr>
          <w:rFonts w:ascii="Garamond" w:eastAsia="Garamond" w:hAnsi="Garamond" w:cs="Garamond"/>
          <w:i/>
          <w:sz w:val="20"/>
          <w:szCs w:val="20"/>
        </w:rPr>
        <w:t>Journal of Human Capital</w:t>
      </w:r>
      <w:r>
        <w:rPr>
          <w:rFonts w:ascii="Garamond" w:eastAsia="Garamond" w:hAnsi="Garamond" w:cs="Garamond"/>
          <w:sz w:val="20"/>
          <w:szCs w:val="20"/>
          <w:highlight w:val="white"/>
        </w:rPr>
        <w:t xml:space="preserve"> 11, no. 1 (Spring 2017): 9–10, https://doi.org/10.1086/690235.</w:t>
      </w:r>
    </w:p>
  </w:footnote>
  <w:footnote w:id="6">
    <w:p w14:paraId="384FCF36"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Keng, Lin, and Orazem, “Expanding College Access,” 23.</w:t>
      </w:r>
    </w:p>
  </w:footnote>
  <w:footnote w:id="7">
    <w:p w14:paraId="68CD249B"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 xml:space="preserve">Rebecca Mead, “The Prophet of Dystopia,” </w:t>
      </w:r>
      <w:r>
        <w:rPr>
          <w:rFonts w:ascii="Garamond" w:eastAsia="Garamond" w:hAnsi="Garamond" w:cs="Garamond"/>
          <w:i/>
          <w:sz w:val="20"/>
          <w:szCs w:val="20"/>
        </w:rPr>
        <w:t>New Yorker</w:t>
      </w:r>
      <w:r>
        <w:rPr>
          <w:rFonts w:ascii="Garamond" w:eastAsia="Garamond" w:hAnsi="Garamond" w:cs="Garamond"/>
          <w:sz w:val="20"/>
          <w:szCs w:val="20"/>
          <w:highlight w:val="white"/>
        </w:rPr>
        <w:t>, 17 April 2017, 43.</w:t>
      </w:r>
    </w:p>
  </w:footnote>
  <w:footnote w:id="8">
    <w:p w14:paraId="21022DEB"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Farhad Manjoo, “Snap Makes a Bet on the Cultural Supremacy of the Camera,” </w:t>
      </w:r>
      <w:r>
        <w:rPr>
          <w:rFonts w:ascii="Garamond" w:eastAsia="Garamond" w:hAnsi="Garamond" w:cs="Garamond"/>
          <w:i/>
          <w:sz w:val="20"/>
          <w:szCs w:val="20"/>
        </w:rPr>
        <w:t>New York Times</w:t>
      </w:r>
      <w:r>
        <w:rPr>
          <w:rFonts w:ascii="Garamond" w:eastAsia="Garamond" w:hAnsi="Garamond" w:cs="Garamond"/>
          <w:sz w:val="20"/>
          <w:szCs w:val="20"/>
          <w:highlight w:val="white"/>
        </w:rPr>
        <w:t xml:space="preserve">, 8 March 2017, accessed </w:t>
      </w:r>
      <w:proofErr w:type="gramStart"/>
      <w:r>
        <w:rPr>
          <w:rFonts w:ascii="Garamond" w:eastAsia="Garamond" w:hAnsi="Garamond" w:cs="Garamond"/>
          <w:sz w:val="20"/>
          <w:szCs w:val="20"/>
          <w:highlight w:val="white"/>
        </w:rPr>
        <w:t>on</w:t>
      </w:r>
      <w:proofErr w:type="gramEnd"/>
      <w:r>
        <w:rPr>
          <w:rFonts w:ascii="Garamond" w:eastAsia="Garamond" w:hAnsi="Garamond" w:cs="Garamond"/>
          <w:sz w:val="20"/>
          <w:szCs w:val="20"/>
          <w:highlight w:val="white"/>
        </w:rPr>
        <w:t xml:space="preserve"> October 2021, https://www.nytimes.com/2017/03/08/technology/snap-makes-a-bet-on-the-cultural-supremacy-of-the-camera.html.</w:t>
      </w:r>
    </w:p>
  </w:footnote>
  <w:footnote w:id="9">
    <w:p w14:paraId="6BA86184"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Mead, “Dystopia,” 47.</w:t>
      </w:r>
    </w:p>
  </w:footnote>
  <w:footnote w:id="10">
    <w:p w14:paraId="35B1FA4B" w14:textId="77777777" w:rsidR="00263B8D" w:rsidRDefault="00000000">
      <w:pPr>
        <w:spacing w:after="0" w:line="240" w:lineRule="auto"/>
        <w:jc w:val="both"/>
        <w:rPr>
          <w:rFonts w:ascii="Garamond" w:eastAsia="Garamond" w:hAnsi="Garamond" w:cs="Garamond"/>
          <w:sz w:val="20"/>
          <w:szCs w:val="20"/>
        </w:rPr>
      </w:pPr>
      <w:r>
        <w:rPr>
          <w:rStyle w:val="FootnoteReference"/>
        </w:rPr>
        <w:footnoteRef/>
      </w:r>
      <w:r>
        <w:rPr>
          <w:rFonts w:ascii="Garamond" w:eastAsia="Garamond" w:hAnsi="Garamond" w:cs="Garamond"/>
          <w:sz w:val="20"/>
          <w:szCs w:val="20"/>
        </w:rPr>
        <w:t xml:space="preserve"> </w:t>
      </w:r>
      <w:r>
        <w:rPr>
          <w:rFonts w:ascii="Garamond" w:eastAsia="Garamond" w:hAnsi="Garamond" w:cs="Garamond"/>
          <w:sz w:val="20"/>
          <w:szCs w:val="20"/>
          <w:highlight w:val="white"/>
        </w:rPr>
        <w:t>Manjoo, “Snap.”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3BF4D" w14:textId="77777777" w:rsidR="00263B8D" w:rsidRDefault="00000000">
    <w:pPr>
      <w:pBdr>
        <w:top w:val="nil"/>
        <w:left w:val="nil"/>
        <w:bottom w:val="nil"/>
        <w:right w:val="nil"/>
        <w:between w:val="nil"/>
      </w:pBdr>
      <w:tabs>
        <w:tab w:val="center" w:pos="4680"/>
        <w:tab w:val="right" w:pos="9360"/>
      </w:tabs>
      <w:jc w:val="center"/>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JOURNAL OF CENTRAL BANK, INSTITUTIONS AND LAW (VOL. 1, NO.1,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753D8" w14:textId="77777777" w:rsidR="00263B8D" w:rsidRDefault="00000000">
    <w:pPr>
      <w:pBdr>
        <w:top w:val="nil"/>
        <w:left w:val="nil"/>
        <w:bottom w:val="nil"/>
        <w:right w:val="nil"/>
        <w:between w:val="nil"/>
      </w:pBdr>
      <w:tabs>
        <w:tab w:val="center" w:pos="4680"/>
        <w:tab w:val="right" w:pos="936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TITLE OF THE ARTICLE, MAXIMUM OF SIX WORDS</w:t>
    </w:r>
  </w:p>
  <w:p w14:paraId="01685486" w14:textId="77777777" w:rsidR="00263B8D" w:rsidRDefault="00263B8D">
    <w:pPr>
      <w:pBdr>
        <w:top w:val="nil"/>
        <w:left w:val="nil"/>
        <w:bottom w:val="nil"/>
        <w:right w:val="nil"/>
        <w:between w:val="nil"/>
      </w:pBdr>
      <w:tabs>
        <w:tab w:val="center" w:pos="4680"/>
        <w:tab w:val="right" w:pos="9360"/>
      </w:tabs>
      <w:rPr>
        <w:rFonts w:ascii="Bookman Old Style" w:eastAsia="Bookman Old Style" w:hAnsi="Bookman Old Style" w:cs="Bookman Old Styl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66077" w14:textId="77777777" w:rsidR="00263B8D" w:rsidRDefault="00000000">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 xml:space="preserve">Journal of Central Bank Law </w:t>
    </w:r>
    <w:r>
      <w:rPr>
        <w:sz w:val="16"/>
        <w:szCs w:val="16"/>
      </w:rPr>
      <w:t>and</w:t>
    </w:r>
    <w:r>
      <w:rPr>
        <w:color w:val="000000"/>
        <w:sz w:val="16"/>
        <w:szCs w:val="16"/>
      </w:rPr>
      <w:t xml:space="preserve"> Institutions, Vol.1</w:t>
    </w:r>
    <w:r>
      <w:rPr>
        <w:sz w:val="16"/>
        <w:szCs w:val="16"/>
      </w:rPr>
      <w:t xml:space="preserve"> No. 1</w:t>
    </w:r>
    <w:r>
      <w:rPr>
        <w:color w:val="000000"/>
        <w:sz w:val="16"/>
        <w:szCs w:val="16"/>
      </w:rPr>
      <w:t>, xx-xx.</w:t>
    </w:r>
  </w:p>
  <w:p w14:paraId="25EF6543" w14:textId="77777777" w:rsidR="00263B8D" w:rsidRDefault="00000000">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 xml:space="preserve">e-ISSN: </w:t>
    </w:r>
    <w:proofErr w:type="spellStart"/>
    <w:r>
      <w:rPr>
        <w:sz w:val="16"/>
        <w:szCs w:val="16"/>
      </w:rPr>
      <w:t>xxxx</w:t>
    </w:r>
    <w:r>
      <w:rPr>
        <w:color w:val="000000"/>
        <w:sz w:val="16"/>
        <w:szCs w:val="16"/>
      </w:rPr>
      <w:t>-</w:t>
    </w:r>
    <w:r>
      <w:rPr>
        <w:sz w:val="16"/>
        <w:szCs w:val="16"/>
      </w:rPr>
      <w:t>xxxx</w:t>
    </w:r>
    <w:proofErr w:type="spellEnd"/>
  </w:p>
  <w:p w14:paraId="6C0C7F5F" w14:textId="77777777" w:rsidR="00263B8D" w:rsidRDefault="00000000">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DOI: 10.17304/jc</w:t>
    </w:r>
    <w:r>
      <w:rPr>
        <w:sz w:val="16"/>
        <w:szCs w:val="16"/>
      </w:rPr>
      <w:t>li</w:t>
    </w:r>
    <w:r>
      <w:rPr>
        <w:color w:val="000000"/>
        <w:sz w:val="16"/>
        <w:szCs w:val="16"/>
      </w:rPr>
      <w:t>.vol1.1.xx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152108"/>
    <w:multiLevelType w:val="multilevel"/>
    <w:tmpl w:val="E4727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773568"/>
    <w:multiLevelType w:val="multilevel"/>
    <w:tmpl w:val="2C0636A4"/>
    <w:lvl w:ilvl="0">
      <w:start w:val="1"/>
      <w:numFmt w:val="decimal"/>
      <w:lvlText w:val="III.%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48838C7"/>
    <w:multiLevelType w:val="multilevel"/>
    <w:tmpl w:val="C42A1F8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D52424"/>
    <w:multiLevelType w:val="multilevel"/>
    <w:tmpl w:val="83CA43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074604">
    <w:abstractNumId w:val="3"/>
  </w:num>
  <w:num w:numId="2" w16cid:durableId="363020589">
    <w:abstractNumId w:val="0"/>
  </w:num>
  <w:num w:numId="3" w16cid:durableId="363482261">
    <w:abstractNumId w:val="1"/>
  </w:num>
  <w:num w:numId="4" w16cid:durableId="177323773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B8D"/>
    <w:rsid w:val="000A52BA"/>
    <w:rsid w:val="000E1489"/>
    <w:rsid w:val="0017585F"/>
    <w:rsid w:val="00263B8D"/>
    <w:rsid w:val="005F40FA"/>
    <w:rsid w:val="006046AE"/>
    <w:rsid w:val="006477B6"/>
    <w:rsid w:val="00764B63"/>
    <w:rsid w:val="008A3BC0"/>
    <w:rsid w:val="008D176F"/>
    <w:rsid w:val="00AF0A5E"/>
    <w:rsid w:val="00BC2EB1"/>
    <w:rsid w:val="00C150C0"/>
    <w:rsid w:val="00CD2ADB"/>
    <w:rsid w:val="00EF16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FBC4"/>
  <w15:docId w15:val="{14FB2A20-1D9A-674A-B9E6-70FC2D3C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5D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AA22CF"/>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link w:val="Heading3Char"/>
    <w:uiPriority w:val="9"/>
    <w:semiHidden/>
    <w:unhideWhenUsed/>
    <w:qFormat/>
    <w:rsid w:val="00AA22CF"/>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uiPriority w:val="9"/>
    <w:rsid w:val="00AA22CF"/>
    <w:rPr>
      <w:rFonts w:ascii="Times New Roman" w:eastAsia="Times New Roman" w:hAnsi="Times New Roman" w:cs="Times New Roman"/>
      <w:b/>
      <w:bCs/>
      <w:sz w:val="36"/>
      <w:szCs w:val="36"/>
    </w:rPr>
  </w:style>
  <w:style w:type="character" w:customStyle="1" w:styleId="Heading3Char">
    <w:name w:val="Heading 3 Char"/>
    <w:link w:val="Heading3"/>
    <w:uiPriority w:val="9"/>
    <w:rsid w:val="00AA22CF"/>
    <w:rPr>
      <w:rFonts w:ascii="Times New Roman" w:eastAsia="Times New Roman" w:hAnsi="Times New Roman" w:cs="Times New Roman"/>
      <w:b/>
      <w:bCs/>
      <w:sz w:val="27"/>
      <w:szCs w:val="27"/>
    </w:rPr>
  </w:style>
  <w:style w:type="character" w:styleId="Strong">
    <w:name w:val="Strong"/>
    <w:uiPriority w:val="22"/>
    <w:qFormat/>
    <w:rsid w:val="00AA22CF"/>
    <w:rPr>
      <w:b/>
      <w:bCs/>
    </w:rPr>
  </w:style>
  <w:style w:type="character" w:customStyle="1" w:styleId="apple-converted-space">
    <w:name w:val="apple-converted-space"/>
    <w:rsid w:val="00AA22CF"/>
  </w:style>
  <w:style w:type="paragraph" w:styleId="NormalWeb">
    <w:name w:val="Normal (Web)"/>
    <w:basedOn w:val="Normal"/>
    <w:uiPriority w:val="99"/>
    <w:semiHidden/>
    <w:unhideWhenUsed/>
    <w:rsid w:val="00AA22CF"/>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AA22CF"/>
    <w:rPr>
      <w:i/>
      <w:iCs/>
    </w:rPr>
  </w:style>
  <w:style w:type="paragraph" w:customStyle="1" w:styleId="bodyabstract">
    <w:name w:val="bodyabstract"/>
    <w:basedOn w:val="Normal"/>
    <w:rsid w:val="00AA22CF"/>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basedOn w:val="Normal"/>
    <w:rsid w:val="00AA22CF"/>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AA22CF"/>
    <w:rPr>
      <w:color w:val="0000FF"/>
      <w:u w:val="single"/>
    </w:rPr>
  </w:style>
  <w:style w:type="paragraph" w:styleId="HTMLPreformatted">
    <w:name w:val="HTML Preformatted"/>
    <w:basedOn w:val="Normal"/>
    <w:link w:val="HTMLPreformattedChar"/>
    <w:uiPriority w:val="99"/>
    <w:semiHidden/>
    <w:unhideWhenUsed/>
    <w:rsid w:val="00AA2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semiHidden/>
    <w:rsid w:val="00AA22CF"/>
    <w:rPr>
      <w:rFonts w:ascii="Courier New" w:eastAsia="Times New Roman" w:hAnsi="Courier New" w:cs="Courier New"/>
      <w:sz w:val="20"/>
      <w:szCs w:val="20"/>
    </w:rPr>
  </w:style>
  <w:style w:type="paragraph" w:styleId="FootnoteText">
    <w:name w:val="footnote text"/>
    <w:basedOn w:val="Normal"/>
    <w:link w:val="FootnoteTextChar"/>
    <w:uiPriority w:val="99"/>
    <w:unhideWhenUsed/>
    <w:rsid w:val="00E14E32"/>
    <w:rPr>
      <w:sz w:val="20"/>
      <w:szCs w:val="20"/>
    </w:rPr>
  </w:style>
  <w:style w:type="character" w:customStyle="1" w:styleId="FootnoteTextChar">
    <w:name w:val="Footnote Text Char"/>
    <w:basedOn w:val="DefaultParagraphFont"/>
    <w:link w:val="FootnoteText"/>
    <w:uiPriority w:val="99"/>
    <w:rsid w:val="00E14E32"/>
  </w:style>
  <w:style w:type="character" w:styleId="FootnoteReference">
    <w:name w:val="footnote reference"/>
    <w:uiPriority w:val="99"/>
    <w:semiHidden/>
    <w:unhideWhenUsed/>
    <w:rsid w:val="00E14E32"/>
    <w:rPr>
      <w:vertAlign w:val="superscript"/>
    </w:rPr>
  </w:style>
  <w:style w:type="character" w:styleId="UnresolvedMention">
    <w:name w:val="Unresolved Mention"/>
    <w:uiPriority w:val="99"/>
    <w:semiHidden/>
    <w:unhideWhenUsed/>
    <w:rsid w:val="00B06E6A"/>
    <w:rPr>
      <w:color w:val="605E5C"/>
      <w:shd w:val="clear" w:color="auto" w:fill="E1DFDD"/>
    </w:rPr>
  </w:style>
  <w:style w:type="paragraph" w:styleId="Header">
    <w:name w:val="header"/>
    <w:basedOn w:val="Normal"/>
    <w:link w:val="HeaderChar"/>
    <w:uiPriority w:val="99"/>
    <w:unhideWhenUsed/>
    <w:rsid w:val="00387392"/>
    <w:pPr>
      <w:tabs>
        <w:tab w:val="center" w:pos="4680"/>
        <w:tab w:val="right" w:pos="9360"/>
      </w:tabs>
    </w:pPr>
  </w:style>
  <w:style w:type="character" w:customStyle="1" w:styleId="HeaderChar">
    <w:name w:val="Header Char"/>
    <w:link w:val="Header"/>
    <w:uiPriority w:val="99"/>
    <w:rsid w:val="00387392"/>
    <w:rPr>
      <w:sz w:val="22"/>
      <w:szCs w:val="22"/>
      <w:lang w:val="en-US"/>
    </w:rPr>
  </w:style>
  <w:style w:type="paragraph" w:styleId="Footer">
    <w:name w:val="footer"/>
    <w:basedOn w:val="Normal"/>
    <w:link w:val="FooterChar"/>
    <w:uiPriority w:val="99"/>
    <w:unhideWhenUsed/>
    <w:rsid w:val="00387392"/>
    <w:pPr>
      <w:tabs>
        <w:tab w:val="center" w:pos="4680"/>
        <w:tab w:val="right" w:pos="9360"/>
      </w:tabs>
    </w:pPr>
  </w:style>
  <w:style w:type="character" w:customStyle="1" w:styleId="FooterChar">
    <w:name w:val="Footer Char"/>
    <w:link w:val="Footer"/>
    <w:uiPriority w:val="99"/>
    <w:rsid w:val="00387392"/>
    <w:rPr>
      <w:sz w:val="22"/>
      <w:szCs w:val="22"/>
      <w:lang w:val="en-US"/>
    </w:rPr>
  </w:style>
  <w:style w:type="character" w:styleId="PageNumber">
    <w:name w:val="page number"/>
    <w:basedOn w:val="DefaultParagraphFont"/>
    <w:uiPriority w:val="99"/>
    <w:semiHidden/>
    <w:unhideWhenUsed/>
    <w:rsid w:val="00387392"/>
  </w:style>
  <w:style w:type="character" w:customStyle="1" w:styleId="i">
    <w:name w:val="i"/>
    <w:basedOn w:val="DefaultParagraphFont"/>
    <w:rsid w:val="003055D5"/>
  </w:style>
  <w:style w:type="table" w:styleId="TableGrid">
    <w:name w:val="Table Grid"/>
    <w:basedOn w:val="TableNormal"/>
    <w:uiPriority w:val="59"/>
    <w:rsid w:val="00FE47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D1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ntact@jcli-bi.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ssjv8NFS8hng4ubSZIhIju7Rtdg==">AMUW2mXLTh6JQ+TbXJiL5kpa1Zvg34EsD3Gx0He2Ki7QdKZv6K8xjlnvlo6z9WSj80ZmZvMEIznT+qPmmsHr9tRSYJGIsdk8ddnTMLmsSyshsXu1dM892QU=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ilrev</dc:creator>
  <cp:lastModifiedBy>Arie Afriansyah</cp:lastModifiedBy>
  <cp:revision>2</cp:revision>
  <dcterms:created xsi:type="dcterms:W3CDTF">2026-09-07T01:50:00Z</dcterms:created>
  <dcterms:modified xsi:type="dcterms:W3CDTF">2026-09-07T01:50:00Z</dcterms:modified>
</cp:coreProperties>
</file>